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D044" w14:textId="77777777" w:rsidR="00AC67E4" w:rsidRPr="00E64D5A" w:rsidRDefault="00A44DDD" w:rsidP="00AA0595">
      <w:pPr>
        <w:pStyle w:val="Author"/>
        <w:keepNext/>
        <w:rPr>
          <w:rFonts w:eastAsiaTheme="majorEastAsia" w:cstheme="majorBidi"/>
          <w:sz w:val="32"/>
          <w:szCs w:val="32"/>
        </w:rPr>
      </w:pPr>
      <w:bookmarkStart w:id="0" w:name="_GoBack"/>
      <w:bookmarkEnd w:id="0"/>
      <w:r>
        <w:rPr>
          <w:rFonts w:eastAsiaTheme="majorEastAsia" w:cstheme="majorBidi"/>
          <w:sz w:val="32"/>
          <w:szCs w:val="32"/>
        </w:rPr>
        <w:t>W</w:t>
      </w:r>
      <w:r w:rsidR="00AC67E4" w:rsidRPr="00E64D5A">
        <w:rPr>
          <w:rFonts w:eastAsiaTheme="majorEastAsia" w:cstheme="majorBidi"/>
          <w:sz w:val="32"/>
          <w:szCs w:val="32"/>
        </w:rPr>
        <w:t xml:space="preserve">here </w:t>
      </w:r>
      <w:r>
        <w:rPr>
          <w:rFonts w:eastAsiaTheme="majorEastAsia" w:cstheme="majorBidi"/>
          <w:sz w:val="32"/>
          <w:szCs w:val="32"/>
        </w:rPr>
        <w:t xml:space="preserve">are </w:t>
      </w:r>
      <w:r w:rsidR="00AC67E4" w:rsidRPr="00E64D5A">
        <w:rPr>
          <w:rFonts w:eastAsiaTheme="majorEastAsia" w:cstheme="majorBidi"/>
          <w:sz w:val="32"/>
          <w:szCs w:val="32"/>
        </w:rPr>
        <w:t>on-farm lime sources more c</w:t>
      </w:r>
      <w:r w:rsidR="00C66D03">
        <w:rPr>
          <w:rFonts w:eastAsiaTheme="majorEastAsia" w:cstheme="majorBidi"/>
          <w:sz w:val="32"/>
          <w:szCs w:val="32"/>
        </w:rPr>
        <w:t>ost effective than coastal lime</w:t>
      </w:r>
      <w:r w:rsidR="00AC67E4" w:rsidRPr="00E64D5A">
        <w:rPr>
          <w:rFonts w:eastAsiaTheme="majorEastAsia" w:cstheme="majorBidi"/>
          <w:sz w:val="32"/>
          <w:szCs w:val="32"/>
        </w:rPr>
        <w:t>sand in the Kwinana East Port Zone</w:t>
      </w:r>
      <w:r>
        <w:rPr>
          <w:rFonts w:eastAsiaTheme="majorEastAsia" w:cstheme="majorBidi"/>
          <w:sz w:val="32"/>
          <w:szCs w:val="32"/>
        </w:rPr>
        <w:t>?</w:t>
      </w:r>
    </w:p>
    <w:p w14:paraId="632D65B7" w14:textId="77777777" w:rsidR="00C17E20" w:rsidRPr="00E95F4E" w:rsidRDefault="003B31ED" w:rsidP="00AA0595">
      <w:pPr>
        <w:pStyle w:val="Author"/>
        <w:keepNext/>
        <w:rPr>
          <w:color w:val="000000"/>
          <w:szCs w:val="20"/>
          <w:shd w:val="clear" w:color="auto" w:fill="FDFDFD"/>
        </w:rPr>
      </w:pPr>
      <w:r w:rsidRPr="00E64D5A">
        <w:t>Ashleigh Donnison</w:t>
      </w:r>
      <w:r w:rsidR="001F3B76">
        <w:rPr>
          <w:vertAlign w:val="superscript"/>
        </w:rPr>
        <w:t>1</w:t>
      </w:r>
      <w:r w:rsidR="001F3B76">
        <w:t xml:space="preserve">, </w:t>
      </w:r>
      <w:r w:rsidR="001F3B76" w:rsidRPr="00E95F4E">
        <w:rPr>
          <w:szCs w:val="20"/>
        </w:rPr>
        <w:t>Regional Research Agronomist</w:t>
      </w:r>
      <w:r w:rsidRPr="00E95F4E">
        <w:rPr>
          <w:szCs w:val="20"/>
        </w:rPr>
        <w:t>, Caroline Peek</w:t>
      </w:r>
      <w:r w:rsidR="00C17E20" w:rsidRPr="00E95F4E">
        <w:rPr>
          <w:szCs w:val="20"/>
          <w:vertAlign w:val="superscript"/>
        </w:rPr>
        <w:t>1</w:t>
      </w:r>
      <w:r w:rsidRPr="00E95F4E">
        <w:rPr>
          <w:szCs w:val="20"/>
        </w:rPr>
        <w:t>,</w:t>
      </w:r>
      <w:r w:rsidR="00C17E20" w:rsidRPr="00E95F4E">
        <w:rPr>
          <w:szCs w:val="20"/>
        </w:rPr>
        <w:t xml:space="preserve"> Senior Research Scientist,</w:t>
      </w:r>
      <w:r w:rsidRPr="00E95F4E">
        <w:rPr>
          <w:szCs w:val="20"/>
        </w:rPr>
        <w:t xml:space="preserve"> Andrew Van </w:t>
      </w:r>
      <w:r w:rsidR="00A44DDD" w:rsidRPr="00E95F4E">
        <w:rPr>
          <w:szCs w:val="20"/>
        </w:rPr>
        <w:t>Burgel</w:t>
      </w:r>
      <w:r w:rsidR="00C17E20" w:rsidRPr="00E95F4E">
        <w:rPr>
          <w:szCs w:val="20"/>
          <w:vertAlign w:val="superscript"/>
        </w:rPr>
        <w:t>2</w:t>
      </w:r>
      <w:r w:rsidR="004A05D6" w:rsidRPr="00E95F4E">
        <w:rPr>
          <w:szCs w:val="20"/>
        </w:rPr>
        <w:t>,</w:t>
      </w:r>
      <w:r w:rsidR="00C17E20" w:rsidRPr="00E95F4E">
        <w:rPr>
          <w:szCs w:val="20"/>
        </w:rPr>
        <w:t xml:space="preserve"> </w:t>
      </w:r>
      <w:r w:rsidR="00C17E20" w:rsidRPr="00E95F4E">
        <w:rPr>
          <w:color w:val="000000"/>
          <w:szCs w:val="20"/>
          <w:shd w:val="clear" w:color="auto" w:fill="FDFDFD"/>
        </w:rPr>
        <w:t>Biometrician,</w:t>
      </w:r>
      <w:r w:rsidR="00582FEF" w:rsidRPr="00E95F4E">
        <w:rPr>
          <w:color w:val="000000"/>
          <w:szCs w:val="20"/>
          <w:shd w:val="clear" w:color="auto" w:fill="FDFDFD"/>
        </w:rPr>
        <w:t xml:space="preserve"> and</w:t>
      </w:r>
      <w:r w:rsidR="00C17E20" w:rsidRPr="00E95F4E">
        <w:rPr>
          <w:color w:val="000000"/>
          <w:szCs w:val="20"/>
          <w:shd w:val="clear" w:color="auto" w:fill="FDFDFD"/>
        </w:rPr>
        <w:t xml:space="preserve"> Cameron Wild</w:t>
      </w:r>
      <w:r w:rsidR="00C17E20" w:rsidRPr="00E95F4E">
        <w:rPr>
          <w:color w:val="000000"/>
          <w:szCs w:val="20"/>
          <w:shd w:val="clear" w:color="auto" w:fill="FDFDFD"/>
          <w:vertAlign w:val="superscript"/>
        </w:rPr>
        <w:t>1</w:t>
      </w:r>
      <w:r w:rsidR="00C17E20" w:rsidRPr="00E95F4E">
        <w:rPr>
          <w:color w:val="000000"/>
          <w:szCs w:val="20"/>
          <w:shd w:val="clear" w:color="auto" w:fill="FDFDFD"/>
        </w:rPr>
        <w:t>, Technical Officer.</w:t>
      </w:r>
    </w:p>
    <w:p w14:paraId="5FA41357" w14:textId="77777777" w:rsidR="00C17E20" w:rsidRPr="00C17E20" w:rsidRDefault="00C17E20" w:rsidP="00AA0595">
      <w:pPr>
        <w:pStyle w:val="Author"/>
        <w:keepNext/>
        <w:rPr>
          <w:b w:val="0"/>
          <w:sz w:val="18"/>
        </w:rPr>
      </w:pPr>
      <w:r w:rsidRPr="00C17E20">
        <w:rPr>
          <w:b w:val="0"/>
          <w:sz w:val="18"/>
          <w:vertAlign w:val="superscript"/>
        </w:rPr>
        <w:t xml:space="preserve">1 </w:t>
      </w:r>
      <w:r w:rsidR="004A05D6" w:rsidRPr="00C17E20">
        <w:rPr>
          <w:b w:val="0"/>
          <w:sz w:val="18"/>
        </w:rPr>
        <w:t>D</w:t>
      </w:r>
      <w:r w:rsidRPr="00C17E20">
        <w:rPr>
          <w:b w:val="0"/>
          <w:sz w:val="18"/>
        </w:rPr>
        <w:t>epartment of Primary Industries and Regional Development Merredin</w:t>
      </w:r>
    </w:p>
    <w:p w14:paraId="3486E618" w14:textId="77777777" w:rsidR="008C6588" w:rsidRPr="00C17E20" w:rsidRDefault="00C17E20" w:rsidP="00C17E20">
      <w:pPr>
        <w:pStyle w:val="Author"/>
        <w:keepNext/>
        <w:spacing w:before="0"/>
        <w:rPr>
          <w:b w:val="0"/>
          <w:bCs w:val="0"/>
          <w:szCs w:val="22"/>
        </w:rPr>
      </w:pPr>
      <w:r w:rsidRPr="00C17E20">
        <w:rPr>
          <w:b w:val="0"/>
          <w:sz w:val="18"/>
          <w:vertAlign w:val="superscript"/>
        </w:rPr>
        <w:t>2</w:t>
      </w:r>
      <w:r w:rsidRPr="00C17E20">
        <w:rPr>
          <w:b w:val="0"/>
          <w:sz w:val="18"/>
        </w:rPr>
        <w:t xml:space="preserve"> Department of Primary Industries and Regional Development Albany</w:t>
      </w:r>
    </w:p>
    <w:p w14:paraId="3635F95E" w14:textId="77777777" w:rsidR="008C2EB5" w:rsidRPr="0084494D" w:rsidRDefault="003D0FC7" w:rsidP="0084494D">
      <w:pPr>
        <w:pStyle w:val="Heading2"/>
        <w:rPr>
          <w:rFonts w:cs="Arial"/>
          <w:b w:val="0"/>
          <w:bCs/>
          <w:sz w:val="20"/>
          <w:szCs w:val="20"/>
        </w:rPr>
      </w:pPr>
      <w:r w:rsidRPr="00E64D5A">
        <w:t>Key words</w:t>
      </w:r>
      <w:r w:rsidR="00BA403E" w:rsidRPr="00E64D5A">
        <w:t xml:space="preserve"> </w:t>
      </w:r>
      <w:r w:rsidR="004A05D6" w:rsidRPr="0084494D">
        <w:rPr>
          <w:rFonts w:cs="Arial"/>
          <w:b w:val="0"/>
          <w:sz w:val="20"/>
          <w:szCs w:val="20"/>
        </w:rPr>
        <w:t>On-farm lime</w:t>
      </w:r>
      <w:r w:rsidR="003B31ED" w:rsidRPr="0084494D">
        <w:rPr>
          <w:rFonts w:cs="Arial"/>
          <w:b w:val="0"/>
          <w:sz w:val="20"/>
          <w:szCs w:val="20"/>
        </w:rPr>
        <w:t>, liming, pH, economics</w:t>
      </w:r>
    </w:p>
    <w:p w14:paraId="4FAC4C09" w14:textId="77777777" w:rsidR="003D0FC7" w:rsidRPr="00522ADB" w:rsidRDefault="003D0FC7" w:rsidP="00AA0595">
      <w:pPr>
        <w:keepNext/>
      </w:pPr>
      <w:r w:rsidRPr="00E64D5A">
        <w:rPr>
          <w:b/>
          <w:bCs/>
        </w:rPr>
        <w:t>GRDC Project Code Number</w:t>
      </w:r>
      <w:r w:rsidRPr="00522ADB">
        <w:rPr>
          <w:b/>
          <w:bCs/>
        </w:rPr>
        <w:t xml:space="preserve">: </w:t>
      </w:r>
      <w:r w:rsidR="00D94EC4" w:rsidRPr="0084494D">
        <w:rPr>
          <w:bCs/>
          <w:iCs/>
        </w:rPr>
        <w:t>DAW00256</w:t>
      </w:r>
    </w:p>
    <w:p w14:paraId="1FEDDAA6" w14:textId="77777777" w:rsidR="008C6588" w:rsidRPr="00E64D5A" w:rsidRDefault="008C6588" w:rsidP="00AA0595">
      <w:pPr>
        <w:pStyle w:val="Heading2"/>
      </w:pPr>
      <w:r w:rsidRPr="00E64D5A">
        <w:t xml:space="preserve">Key </w:t>
      </w:r>
      <w:r w:rsidR="000D10A8" w:rsidRPr="00E64D5A">
        <w:t>m</w:t>
      </w:r>
      <w:r w:rsidRPr="00E64D5A">
        <w:t>essages</w:t>
      </w:r>
    </w:p>
    <w:p w14:paraId="02E9E2EE" w14:textId="77777777" w:rsidR="007A2518" w:rsidRDefault="00B7475E" w:rsidP="004B06AE">
      <w:pPr>
        <w:keepNext/>
        <w:numPr>
          <w:ilvl w:val="0"/>
          <w:numId w:val="17"/>
        </w:numPr>
      </w:pPr>
      <w:r>
        <w:t>Quality</w:t>
      </w:r>
      <w:r w:rsidR="003B31ED" w:rsidRPr="00E64D5A">
        <w:t xml:space="preserve"> of </w:t>
      </w:r>
      <w:r w:rsidR="000A49EF" w:rsidRPr="00E64D5A">
        <w:t>on-farm</w:t>
      </w:r>
      <w:r w:rsidR="003B31ED" w:rsidRPr="00E64D5A">
        <w:t xml:space="preserve"> lime</w:t>
      </w:r>
      <w:r w:rsidR="004B06AE">
        <w:t xml:space="preserve"> and distance from </w:t>
      </w:r>
      <w:r w:rsidR="00BF1E8A">
        <w:t>coastal limesand</w:t>
      </w:r>
      <w:r w:rsidR="004B06AE">
        <w:t xml:space="preserve"> source</w:t>
      </w:r>
      <w:r w:rsidR="00BF1E8A">
        <w:t>s</w:t>
      </w:r>
      <w:r w:rsidR="004B06AE">
        <w:t xml:space="preserve"> are </w:t>
      </w:r>
      <w:r w:rsidR="003B31ED" w:rsidRPr="00E64D5A">
        <w:t>important</w:t>
      </w:r>
      <w:r w:rsidR="004B06AE">
        <w:t xml:space="preserve"> factors</w:t>
      </w:r>
      <w:r w:rsidR="000A49EF" w:rsidRPr="00E64D5A">
        <w:t xml:space="preserve"> in determining economic</w:t>
      </w:r>
      <w:r w:rsidR="004B06AE">
        <w:t xml:space="preserve"> </w:t>
      </w:r>
      <w:r w:rsidR="00A44DDD">
        <w:t xml:space="preserve">advantage </w:t>
      </w:r>
      <w:r w:rsidR="004B06AE">
        <w:t>over coastal limesand</w:t>
      </w:r>
      <w:r w:rsidR="000A49EF" w:rsidRPr="00E64D5A">
        <w:t xml:space="preserve">. </w:t>
      </w:r>
    </w:p>
    <w:p w14:paraId="61B38905" w14:textId="77777777" w:rsidR="00C74954" w:rsidRPr="00E64D5A" w:rsidRDefault="006200C3" w:rsidP="00AA0595">
      <w:pPr>
        <w:keepNext/>
        <w:numPr>
          <w:ilvl w:val="0"/>
          <w:numId w:val="17"/>
        </w:numPr>
      </w:pPr>
      <w:r>
        <w:t xml:space="preserve">The </w:t>
      </w:r>
      <w:r w:rsidR="000A49EF" w:rsidRPr="00E64D5A">
        <w:t>iLime</w:t>
      </w:r>
      <w:r>
        <w:t xml:space="preserve"> app</w:t>
      </w:r>
      <w:r w:rsidR="000A49EF" w:rsidRPr="00E64D5A">
        <w:t xml:space="preserve"> </w:t>
      </w:r>
      <w:r w:rsidR="00A44DDD">
        <w:t xml:space="preserve">simulations </w:t>
      </w:r>
      <w:r w:rsidR="000A49EF" w:rsidRPr="00E64D5A">
        <w:t xml:space="preserve">indicate that </w:t>
      </w:r>
      <w:r w:rsidR="00C66B53">
        <w:t xml:space="preserve">incorporation increases the economic benefit of </w:t>
      </w:r>
      <w:r w:rsidR="000A49EF" w:rsidRPr="00E64D5A">
        <w:t xml:space="preserve">limesand and on-farm limes when </w:t>
      </w:r>
      <w:r w:rsidR="00630863">
        <w:t xml:space="preserve">used </w:t>
      </w:r>
      <w:r w:rsidR="00997D1B" w:rsidRPr="00E64D5A">
        <w:t>in</w:t>
      </w:r>
      <w:r w:rsidR="003B31ED" w:rsidRPr="00E64D5A">
        <w:t xml:space="preserve"> recovery liming</w:t>
      </w:r>
      <w:r w:rsidR="00997D1B" w:rsidRPr="00E64D5A">
        <w:t xml:space="preserve"> scenarios</w:t>
      </w:r>
      <w:r w:rsidR="003B31ED" w:rsidRPr="00E64D5A">
        <w:t>.</w:t>
      </w:r>
    </w:p>
    <w:p w14:paraId="3F9C6660" w14:textId="77777777" w:rsidR="008C6588" w:rsidRPr="00E64D5A" w:rsidRDefault="008C6588" w:rsidP="00AA0595">
      <w:pPr>
        <w:pStyle w:val="Heading2"/>
      </w:pPr>
      <w:r w:rsidRPr="00E64D5A">
        <w:t>Aims</w:t>
      </w:r>
    </w:p>
    <w:p w14:paraId="6E104E62" w14:textId="77777777" w:rsidR="003D362D" w:rsidRPr="00E64D5A" w:rsidRDefault="003D362D" w:rsidP="003D362D">
      <w:pPr>
        <w:keepNext/>
      </w:pPr>
      <w:r>
        <w:t>T</w:t>
      </w:r>
      <w:r w:rsidRPr="00E64D5A">
        <w:t xml:space="preserve">o investigate the cost-effectiveness of </w:t>
      </w:r>
      <w:r w:rsidR="004B06AE">
        <w:t>on-farm</w:t>
      </w:r>
      <w:r w:rsidRPr="00E64D5A">
        <w:t xml:space="preserve"> lime </w:t>
      </w:r>
      <w:r w:rsidR="003F34C9">
        <w:t>for</w:t>
      </w:r>
      <w:r w:rsidR="003F34C9" w:rsidRPr="00E64D5A">
        <w:t xml:space="preserve"> </w:t>
      </w:r>
      <w:r w:rsidRPr="00E64D5A">
        <w:t>ameliorating soil acidity in K</w:t>
      </w:r>
      <w:r>
        <w:t xml:space="preserve">winana </w:t>
      </w:r>
      <w:r w:rsidRPr="00E64D5A">
        <w:t>E</w:t>
      </w:r>
      <w:r>
        <w:t>ast Port Zone</w:t>
      </w:r>
      <w:r w:rsidR="003F34C9">
        <w:t xml:space="preserve"> and to validate</w:t>
      </w:r>
      <w:r w:rsidR="007F4B3F">
        <w:t xml:space="preserve"> </w:t>
      </w:r>
      <w:r w:rsidR="0035182B">
        <w:t xml:space="preserve">the </w:t>
      </w:r>
      <w:r w:rsidRPr="00E64D5A">
        <w:t>iLime</w:t>
      </w:r>
      <w:r w:rsidR="0035182B">
        <w:t xml:space="preserve"> application </w:t>
      </w:r>
      <w:r w:rsidR="003F34C9">
        <w:t>(</w:t>
      </w:r>
      <w:r>
        <w:t xml:space="preserve">developed </w:t>
      </w:r>
      <w:r w:rsidRPr="00E64D5A">
        <w:t>by DPIRD and Desiree Futures</w:t>
      </w:r>
      <w:r w:rsidR="003F34C9">
        <w:t xml:space="preserve"> with funding from GRDC) by comparing</w:t>
      </w:r>
      <w:r w:rsidR="007F4B3F">
        <w:t xml:space="preserve"> </w:t>
      </w:r>
      <w:r w:rsidR="00931EED">
        <w:t xml:space="preserve">simulations with </w:t>
      </w:r>
      <w:r w:rsidR="003F34C9">
        <w:t>field trial results</w:t>
      </w:r>
      <w:r w:rsidR="00931EED">
        <w:t>.</w:t>
      </w:r>
    </w:p>
    <w:p w14:paraId="029BF9D2" w14:textId="77777777" w:rsidR="00D47CF1" w:rsidRPr="00E64D5A" w:rsidRDefault="00D47CF1" w:rsidP="00AA0595">
      <w:pPr>
        <w:pStyle w:val="Heading2"/>
      </w:pPr>
      <w:r w:rsidRPr="00E64D5A">
        <w:t>Introduction</w:t>
      </w:r>
    </w:p>
    <w:p w14:paraId="34CB9647" w14:textId="77777777" w:rsidR="00F908D3" w:rsidRDefault="00AC67E4" w:rsidP="00BE55DF">
      <w:r w:rsidRPr="00E64D5A">
        <w:t xml:space="preserve">Soil acidity is a major constraint for growers </w:t>
      </w:r>
      <w:r w:rsidR="008926FE" w:rsidRPr="00E64D5A">
        <w:t xml:space="preserve">across the </w:t>
      </w:r>
      <w:r w:rsidR="00522ADB">
        <w:t xml:space="preserve">Western Australian </w:t>
      </w:r>
      <w:r w:rsidR="000A57ED">
        <w:t>wheatbelt (Gazey et al 2014)</w:t>
      </w:r>
      <w:r w:rsidR="003F34C9">
        <w:t xml:space="preserve"> </w:t>
      </w:r>
      <w:r w:rsidR="00522ADB">
        <w:t>and</w:t>
      </w:r>
      <w:r w:rsidR="00522ADB" w:rsidRPr="00E64D5A">
        <w:t xml:space="preserve"> </w:t>
      </w:r>
      <w:r w:rsidR="003F34C9">
        <w:t>l</w:t>
      </w:r>
      <w:r w:rsidR="003F34C9" w:rsidRPr="00E64D5A">
        <w:t xml:space="preserve">iming </w:t>
      </w:r>
      <w:r w:rsidR="00206F93" w:rsidRPr="00E64D5A">
        <w:t xml:space="preserve">to improve </w:t>
      </w:r>
      <w:r w:rsidR="000A57ED">
        <w:t>soil pH</w:t>
      </w:r>
      <w:r w:rsidR="00F47A43">
        <w:t xml:space="preserve"> has become an increasingly important practice </w:t>
      </w:r>
      <w:r w:rsidR="003F34C9">
        <w:t xml:space="preserve">for </w:t>
      </w:r>
      <w:r w:rsidR="00F47A43">
        <w:t>maintaining and improving soil pH</w:t>
      </w:r>
      <w:r w:rsidR="00206F93" w:rsidRPr="00E64D5A">
        <w:t xml:space="preserve">. </w:t>
      </w:r>
      <w:r w:rsidR="003F34C9">
        <w:t>A</w:t>
      </w:r>
      <w:r w:rsidR="00F47A43">
        <w:t xml:space="preserve"> major barrier </w:t>
      </w:r>
      <w:r w:rsidR="003F34C9">
        <w:t xml:space="preserve">to </w:t>
      </w:r>
      <w:r w:rsidR="00F157E3">
        <w:t xml:space="preserve">the </w:t>
      </w:r>
      <w:r w:rsidR="003F34C9">
        <w:t>adoption and expansion of liming</w:t>
      </w:r>
      <w:r w:rsidR="00F157E3">
        <w:t xml:space="preserve"> practices</w:t>
      </w:r>
      <w:r w:rsidR="003F34C9">
        <w:t xml:space="preserve"> </w:t>
      </w:r>
      <w:r w:rsidR="00F47A43">
        <w:t>for many farm businesses is the high freight costs</w:t>
      </w:r>
      <w:r w:rsidR="00C66D03">
        <w:t xml:space="preserve"> of </w:t>
      </w:r>
      <w:r w:rsidR="003F34C9">
        <w:t xml:space="preserve">coastal </w:t>
      </w:r>
      <w:r w:rsidR="00C66D03">
        <w:t>limesand</w:t>
      </w:r>
      <w:r w:rsidR="00F47A43">
        <w:t xml:space="preserve">. This is particularly significant </w:t>
      </w:r>
      <w:r w:rsidR="00E64D5A" w:rsidRPr="00E64D5A">
        <w:t>for</w:t>
      </w:r>
      <w:r w:rsidR="008926FE" w:rsidRPr="00E64D5A">
        <w:t xml:space="preserve"> growers located in the</w:t>
      </w:r>
      <w:r w:rsidR="00E64D5A" w:rsidRPr="00E64D5A">
        <w:t xml:space="preserve"> low rainfall zones </w:t>
      </w:r>
      <w:r w:rsidR="003F34C9">
        <w:t>of</w:t>
      </w:r>
      <w:r w:rsidR="00E64D5A" w:rsidRPr="00E64D5A">
        <w:t xml:space="preserve"> </w:t>
      </w:r>
      <w:r w:rsidR="00206F93" w:rsidRPr="00E64D5A">
        <w:t>the</w:t>
      </w:r>
      <w:r w:rsidR="008926FE" w:rsidRPr="00E64D5A">
        <w:t xml:space="preserve"> Kwinana East Port Zone</w:t>
      </w:r>
      <w:r w:rsidR="00997D1B" w:rsidRPr="00E64D5A">
        <w:t xml:space="preserve"> (KE)</w:t>
      </w:r>
      <w:r w:rsidR="00F47A43">
        <w:t xml:space="preserve">, where </w:t>
      </w:r>
      <w:r w:rsidR="003F34C9">
        <w:t>yields</w:t>
      </w:r>
      <w:r w:rsidR="005418DF">
        <w:t xml:space="preserve"> are </w:t>
      </w:r>
      <w:r w:rsidR="00F47A43">
        <w:t>high</w:t>
      </w:r>
      <w:r w:rsidR="003F34C9">
        <w:t>ly variable</w:t>
      </w:r>
      <w:r w:rsidR="00F47A43">
        <w:t xml:space="preserve"> </w:t>
      </w:r>
      <w:r w:rsidR="009B6E62">
        <w:t>and distances</w:t>
      </w:r>
      <w:r w:rsidR="00F47A43">
        <w:t xml:space="preserve"> to coastal sources</w:t>
      </w:r>
      <w:r w:rsidR="003F34C9">
        <w:t xml:space="preserve"> </w:t>
      </w:r>
      <w:r w:rsidR="006200C3">
        <w:t xml:space="preserve">are </w:t>
      </w:r>
      <w:r w:rsidR="003F34C9">
        <w:t>large</w:t>
      </w:r>
      <w:r w:rsidRPr="00E64D5A">
        <w:t xml:space="preserve">. </w:t>
      </w:r>
      <w:r w:rsidR="003F34C9">
        <w:t>O</w:t>
      </w:r>
      <w:r w:rsidR="003F34C9" w:rsidRPr="00E64D5A">
        <w:t>n</w:t>
      </w:r>
      <w:r w:rsidRPr="00E64D5A">
        <w:t xml:space="preserve">-farm lime </w:t>
      </w:r>
      <w:r w:rsidR="00F47A43">
        <w:t>sources</w:t>
      </w:r>
      <w:r w:rsidRPr="00E64D5A">
        <w:t xml:space="preserve"> </w:t>
      </w:r>
      <w:r w:rsidR="003F34C9">
        <w:t xml:space="preserve">with </w:t>
      </w:r>
      <w:r w:rsidR="003F34C9" w:rsidRPr="00E64D5A">
        <w:t xml:space="preserve">potential to ameliorate soil </w:t>
      </w:r>
      <w:r w:rsidR="009B6E62" w:rsidRPr="00E64D5A">
        <w:t xml:space="preserve">acidity </w:t>
      </w:r>
      <w:r w:rsidR="009B6E62">
        <w:t>have</w:t>
      </w:r>
      <w:r w:rsidR="00F47A43">
        <w:t xml:space="preserve"> been identified </w:t>
      </w:r>
      <w:r w:rsidR="003F34C9" w:rsidRPr="00E64D5A">
        <w:t xml:space="preserve">throughout the KE </w:t>
      </w:r>
      <w:r w:rsidR="009B6E62" w:rsidRPr="00E64D5A">
        <w:t>landscape</w:t>
      </w:r>
      <w:r w:rsidR="00206F93" w:rsidRPr="00E64D5A">
        <w:t>.</w:t>
      </w:r>
      <w:r w:rsidR="000A57ED">
        <w:t xml:space="preserve"> </w:t>
      </w:r>
      <w:r w:rsidR="00183AE2">
        <w:t>T</w:t>
      </w:r>
      <w:r w:rsidR="000A57ED">
        <w:t xml:space="preserve">hese sources </w:t>
      </w:r>
      <w:r w:rsidR="00B56FFF">
        <w:t xml:space="preserve">can </w:t>
      </w:r>
      <w:r w:rsidR="00F47A43">
        <w:t xml:space="preserve">often </w:t>
      </w:r>
      <w:r w:rsidR="00B56FFF">
        <w:t>be identified</w:t>
      </w:r>
      <w:r w:rsidR="00F47A43">
        <w:t xml:space="preserve"> by vegetation, </w:t>
      </w:r>
      <w:r w:rsidR="000A57ED" w:rsidRPr="000A57ED">
        <w:t>having</w:t>
      </w:r>
      <w:r w:rsidR="000A57ED">
        <w:t xml:space="preserve"> a </w:t>
      </w:r>
      <w:r w:rsidR="00B56FFF">
        <w:t xml:space="preserve">soil </w:t>
      </w:r>
      <w:r w:rsidR="000A57ED">
        <w:t xml:space="preserve">pH of 7.0 or higher, and having white carbonate nodules near </w:t>
      </w:r>
      <w:r w:rsidR="00183AE2">
        <w:t xml:space="preserve">or at </w:t>
      </w:r>
      <w:r w:rsidR="000A57ED">
        <w:t>the surface</w:t>
      </w:r>
      <w:r w:rsidR="00183AE2">
        <w:t xml:space="preserve"> (</w:t>
      </w:r>
      <w:r w:rsidR="00F222DA">
        <w:rPr>
          <w:rFonts w:cs="Arial"/>
          <w:szCs w:val="20"/>
        </w:rPr>
        <w:t>The Liebe Group</w:t>
      </w:r>
      <w:r w:rsidR="00F157E3">
        <w:rPr>
          <w:rFonts w:cs="Arial"/>
          <w:szCs w:val="20"/>
        </w:rPr>
        <w:t>,</w:t>
      </w:r>
      <w:r w:rsidR="00F222DA">
        <w:t xml:space="preserve"> </w:t>
      </w:r>
      <w:r w:rsidR="00183AE2">
        <w:t>2019)</w:t>
      </w:r>
      <w:r w:rsidR="000A57ED">
        <w:t>.</w:t>
      </w:r>
      <w:r w:rsidR="00206F93" w:rsidRPr="00E64D5A">
        <w:t xml:space="preserve"> </w:t>
      </w:r>
      <w:r w:rsidR="00B56FFF">
        <w:t>They</w:t>
      </w:r>
      <w:r w:rsidR="00206F93" w:rsidRPr="00E64D5A">
        <w:t xml:space="preserve"> </w:t>
      </w:r>
      <w:r w:rsidR="00E64D5A" w:rsidRPr="00E64D5A">
        <w:t xml:space="preserve">have </w:t>
      </w:r>
      <w:r w:rsidR="00F47A43">
        <w:t xml:space="preserve">a </w:t>
      </w:r>
      <w:r w:rsidR="00E64D5A" w:rsidRPr="00E64D5A">
        <w:t>lower</w:t>
      </w:r>
      <w:r w:rsidR="00F47A43">
        <w:t xml:space="preserve"> associated freight cost</w:t>
      </w:r>
      <w:r w:rsidR="00E64D5A" w:rsidRPr="00E64D5A">
        <w:t xml:space="preserve"> </w:t>
      </w:r>
      <w:r w:rsidR="00F47A43">
        <w:t xml:space="preserve">and </w:t>
      </w:r>
      <w:r w:rsidR="00B56FFF">
        <w:t>therefore</w:t>
      </w:r>
      <w:r w:rsidR="009B6E62">
        <w:t xml:space="preserve"> have</w:t>
      </w:r>
      <w:r w:rsidR="00B56FFF">
        <w:t xml:space="preserve"> </w:t>
      </w:r>
      <w:r w:rsidR="00F47A43">
        <w:t>potential to be more economic</w:t>
      </w:r>
      <w:r w:rsidR="00F157E3">
        <w:t xml:space="preserve">al </w:t>
      </w:r>
      <w:r w:rsidR="00206F93" w:rsidRPr="00E64D5A">
        <w:t xml:space="preserve">for growers. </w:t>
      </w:r>
      <w:r w:rsidR="00B56FFF">
        <w:t>A</w:t>
      </w:r>
      <w:r w:rsidR="0035182B">
        <w:t xml:space="preserve"> major issue with these sources is significant variation in source quality through differing particle size </w:t>
      </w:r>
      <w:r w:rsidR="00B56FFF">
        <w:t xml:space="preserve">distributions </w:t>
      </w:r>
      <w:r w:rsidR="0035182B">
        <w:t>and neutralising values (NV).</w:t>
      </w:r>
      <w:r w:rsidR="00206F93" w:rsidRPr="00E64D5A">
        <w:t xml:space="preserve"> </w:t>
      </w:r>
      <w:r w:rsidR="0035182B">
        <w:t>This</w:t>
      </w:r>
      <w:r w:rsidR="00206F93" w:rsidRPr="00E64D5A">
        <w:t xml:space="preserve"> influences the cost effectiveness of </w:t>
      </w:r>
      <w:r w:rsidR="0035182B">
        <w:t>these</w:t>
      </w:r>
      <w:r w:rsidR="00206F93" w:rsidRPr="00E64D5A">
        <w:t xml:space="preserve"> sources over fr</w:t>
      </w:r>
      <w:r w:rsidR="00E64D5A" w:rsidRPr="00E64D5A">
        <w:t>eighting limesand</w:t>
      </w:r>
      <w:r w:rsidR="00206F93" w:rsidRPr="00E64D5A">
        <w:t>.</w:t>
      </w:r>
      <w:r w:rsidR="00406D6D">
        <w:t xml:space="preserve"> </w:t>
      </w:r>
      <w:r w:rsidR="0035182B">
        <w:t>Lime s</w:t>
      </w:r>
      <w:r w:rsidR="00F908D3">
        <w:t>ources with a large</w:t>
      </w:r>
      <w:r w:rsidR="0035182B">
        <w:t>r</w:t>
      </w:r>
      <w:r w:rsidR="00F908D3">
        <w:t xml:space="preserve"> proportion of f</w:t>
      </w:r>
      <w:r w:rsidR="00406D6D">
        <w:t xml:space="preserve">ine </w:t>
      </w:r>
      <w:r w:rsidR="00406D6D" w:rsidRPr="00F908D3">
        <w:rPr>
          <w:szCs w:val="20"/>
        </w:rPr>
        <w:t>particles</w:t>
      </w:r>
      <w:r w:rsidR="00F908D3" w:rsidRPr="00F908D3">
        <w:rPr>
          <w:szCs w:val="20"/>
        </w:rPr>
        <w:t xml:space="preserve"> (</w:t>
      </w:r>
      <w:r w:rsidR="00F908D3" w:rsidRPr="00F908D3">
        <w:rPr>
          <w:rFonts w:cs="Arial"/>
          <w:szCs w:val="20"/>
        </w:rPr>
        <w:t>&lt; 0.075mm)</w:t>
      </w:r>
      <w:r w:rsidR="0035182B">
        <w:rPr>
          <w:rFonts w:cs="Arial"/>
          <w:szCs w:val="20"/>
        </w:rPr>
        <w:t xml:space="preserve"> </w:t>
      </w:r>
      <w:r w:rsidR="0035182B">
        <w:rPr>
          <w:szCs w:val="20"/>
        </w:rPr>
        <w:t xml:space="preserve">react </w:t>
      </w:r>
      <w:r w:rsidR="00B56FFF">
        <w:rPr>
          <w:szCs w:val="20"/>
        </w:rPr>
        <w:t>more quickly with soil acidity</w:t>
      </w:r>
      <w:r w:rsidR="00F222DA">
        <w:rPr>
          <w:szCs w:val="20"/>
        </w:rPr>
        <w:t xml:space="preserve"> </w:t>
      </w:r>
      <w:r w:rsidR="00330509">
        <w:rPr>
          <w:rFonts w:cs="Arial"/>
          <w:szCs w:val="20"/>
        </w:rPr>
        <w:t>(Scott et al 1992)</w:t>
      </w:r>
      <w:r w:rsidR="00F908D3" w:rsidRPr="00F908D3">
        <w:rPr>
          <w:szCs w:val="20"/>
        </w:rPr>
        <w:t>.</w:t>
      </w:r>
      <w:r w:rsidR="00F908D3" w:rsidRPr="00F908D3">
        <w:t xml:space="preserve"> </w:t>
      </w:r>
      <w:r w:rsidR="00B56FFF">
        <w:t>Fine particles are particularly important in improving the effective neutralising value (ENV) of</w:t>
      </w:r>
      <w:r w:rsidR="009B6E62">
        <w:t xml:space="preserve"> </w:t>
      </w:r>
      <w:r w:rsidR="00F908D3">
        <w:t>on-farm sources</w:t>
      </w:r>
      <w:r w:rsidR="008766E6">
        <w:t xml:space="preserve"> but need to be associated with a good NV to be effective</w:t>
      </w:r>
      <w:r w:rsidR="00F222DA">
        <w:t xml:space="preserve"> </w:t>
      </w:r>
      <w:r w:rsidR="00B51EA0">
        <w:t xml:space="preserve">(Peek </w:t>
      </w:r>
      <w:r w:rsidR="00330509">
        <w:t xml:space="preserve">et al </w:t>
      </w:r>
      <w:r w:rsidR="00B51EA0">
        <w:t>2019</w:t>
      </w:r>
      <w:r w:rsidR="00236B67">
        <w:t>).</w:t>
      </w:r>
      <w:r w:rsidR="0035182B">
        <w:t xml:space="preserve"> Thus</w:t>
      </w:r>
      <w:r w:rsidR="003A39D3">
        <w:t>,</w:t>
      </w:r>
      <w:r w:rsidR="0035182B">
        <w:t xml:space="preserve"> understanding the economic interaction between ENV, particle size, quantity and freight distances </w:t>
      </w:r>
      <w:r w:rsidR="00F157E3">
        <w:t xml:space="preserve">is </w:t>
      </w:r>
      <w:r w:rsidR="0035182B">
        <w:t xml:space="preserve">critical when </w:t>
      </w:r>
      <w:r w:rsidR="00B56FFF">
        <w:t xml:space="preserve">evaluating </w:t>
      </w:r>
      <w:r w:rsidR="0035182B">
        <w:t>these on-farm sources.</w:t>
      </w:r>
    </w:p>
    <w:p w14:paraId="0150E2FD" w14:textId="77777777" w:rsidR="008C6588" w:rsidRPr="00E64D5A" w:rsidRDefault="003B6DA6" w:rsidP="00BE55DF">
      <w:pPr>
        <w:pStyle w:val="Heading2"/>
        <w:keepNext w:val="0"/>
      </w:pPr>
      <w:r w:rsidRPr="00E64D5A">
        <w:t>M</w:t>
      </w:r>
      <w:r w:rsidR="008C6588" w:rsidRPr="00E64D5A">
        <w:t>ethod</w:t>
      </w:r>
      <w:r w:rsidR="002D551D">
        <w:t xml:space="preserve">  </w:t>
      </w:r>
    </w:p>
    <w:p w14:paraId="1720A914" w14:textId="77777777" w:rsidR="008C6588" w:rsidRPr="00E64D5A" w:rsidRDefault="006615D0" w:rsidP="00BE55DF">
      <w:pPr>
        <w:pStyle w:val="Heading3"/>
        <w:keepNext w:val="0"/>
      </w:pPr>
      <w:r w:rsidRPr="00E64D5A">
        <w:t>Trial d</w:t>
      </w:r>
      <w:r w:rsidR="003B31ED" w:rsidRPr="00E64D5A">
        <w:t>escription</w:t>
      </w:r>
    </w:p>
    <w:p w14:paraId="5B031B56" w14:textId="77777777" w:rsidR="003A1EF9" w:rsidRPr="003D5A49" w:rsidRDefault="00B656B1" w:rsidP="003D5A49">
      <w:pPr>
        <w:spacing w:after="0"/>
        <w:rPr>
          <w:rFonts w:eastAsia="Times New Roman" w:cs="Arial"/>
          <w:color w:val="000000"/>
          <w:sz w:val="24"/>
          <w:szCs w:val="24"/>
          <w:lang w:eastAsia="en-AU"/>
        </w:rPr>
      </w:pPr>
      <w:r>
        <w:t>A</w:t>
      </w:r>
      <w:r w:rsidR="003B31ED" w:rsidRPr="00E64D5A">
        <w:t xml:space="preserve">n on-going field trial </w:t>
      </w:r>
      <w:r>
        <w:t xml:space="preserve">was </w:t>
      </w:r>
      <w:r w:rsidR="003B31ED" w:rsidRPr="00E64D5A">
        <w:t xml:space="preserve">established </w:t>
      </w:r>
      <w:r w:rsidR="00931EED">
        <w:t>south of</w:t>
      </w:r>
      <w:r w:rsidR="003B31ED" w:rsidRPr="00E64D5A">
        <w:t xml:space="preserve"> </w:t>
      </w:r>
      <w:proofErr w:type="spellStart"/>
      <w:r w:rsidR="003B31ED" w:rsidRPr="00E64D5A">
        <w:t>Moorine</w:t>
      </w:r>
      <w:proofErr w:type="spellEnd"/>
      <w:r w:rsidR="003B31ED" w:rsidRPr="00E64D5A">
        <w:t xml:space="preserve"> Rock</w:t>
      </w:r>
      <w:r w:rsidR="00F157E3">
        <w:t>,</w:t>
      </w:r>
      <w:r w:rsidR="003B31ED" w:rsidRPr="00E64D5A">
        <w:t xml:space="preserve"> Western Australia (</w:t>
      </w:r>
      <w:r w:rsidR="006615D0" w:rsidRPr="00E64D5A">
        <w:t>31</w:t>
      </w:r>
      <w:r w:rsidR="006615D0" w:rsidRPr="00E64D5A">
        <w:rPr>
          <w:rFonts w:cs="Arial"/>
        </w:rPr>
        <w:t>°</w:t>
      </w:r>
      <w:r w:rsidR="006615D0" w:rsidRPr="00E64D5A">
        <w:t>33’ S</w:t>
      </w:r>
      <w:r w:rsidR="003B31ED" w:rsidRPr="00E64D5A">
        <w:t xml:space="preserve">, </w:t>
      </w:r>
      <w:r w:rsidR="006615D0" w:rsidRPr="00E64D5A">
        <w:t>119</w:t>
      </w:r>
      <w:r w:rsidR="006615D0" w:rsidRPr="00E64D5A">
        <w:rPr>
          <w:rFonts w:cs="Arial"/>
        </w:rPr>
        <w:t>°</w:t>
      </w:r>
      <w:r w:rsidR="006615D0" w:rsidRPr="00E64D5A">
        <w:t>11’E</w:t>
      </w:r>
      <w:r w:rsidR="003B31ED" w:rsidRPr="00E64D5A">
        <w:t>)</w:t>
      </w:r>
      <w:r>
        <w:t>,</w:t>
      </w:r>
      <w:r w:rsidR="00911E8F">
        <w:t xml:space="preserve"> located </w:t>
      </w:r>
      <w:r w:rsidR="00F157E3">
        <w:t xml:space="preserve">about </w:t>
      </w:r>
      <w:r w:rsidR="00911E8F">
        <w:t>458km from the nearest limesand pit in Lancelin</w:t>
      </w:r>
      <w:r>
        <w:t xml:space="preserve">, on an acidic </w:t>
      </w:r>
      <w:r w:rsidRPr="0063009C">
        <w:t xml:space="preserve">sandy earth with </w:t>
      </w:r>
      <w:r>
        <w:t>pH</w:t>
      </w:r>
      <w:r w:rsidRPr="0063009C">
        <w:t xml:space="preserve"> below the recommended </w:t>
      </w:r>
      <w:r>
        <w:t>threshold</w:t>
      </w:r>
      <w:r w:rsidRPr="0063009C">
        <w:t xml:space="preserve"> of 5.5 </w:t>
      </w:r>
      <w:r>
        <w:t>at</w:t>
      </w:r>
      <w:r w:rsidRPr="0063009C">
        <w:t xml:space="preserve"> 0-10cm and 4.8 </w:t>
      </w:r>
      <w:r>
        <w:t>in the subsoil</w:t>
      </w:r>
      <w:r w:rsidRPr="0063009C">
        <w:t xml:space="preserve"> (Van </w:t>
      </w:r>
      <w:proofErr w:type="spellStart"/>
      <w:r w:rsidRPr="0063009C">
        <w:t>Gool</w:t>
      </w:r>
      <w:proofErr w:type="spellEnd"/>
      <w:r w:rsidRPr="0063009C">
        <w:t xml:space="preserve"> 2016) (Table 1). The entire </w:t>
      </w:r>
      <w:r w:rsidR="006200C3">
        <w:t>trial</w:t>
      </w:r>
      <w:r w:rsidRPr="0063009C">
        <w:t xml:space="preserve"> site was </w:t>
      </w:r>
      <w:r w:rsidRPr="00E95F4E">
        <w:t>deep ripped</w:t>
      </w:r>
      <w:r w:rsidR="001F44B3">
        <w:t xml:space="preserve"> to 50cm</w:t>
      </w:r>
      <w:r w:rsidRPr="00E95F4E">
        <w:t xml:space="preserve"> </w:t>
      </w:r>
      <w:r w:rsidR="001F44B3">
        <w:t>in 2018</w:t>
      </w:r>
      <w:r w:rsidR="003A1EF9" w:rsidRPr="0063009C">
        <w:t>.</w:t>
      </w:r>
      <w:r w:rsidR="006615D0" w:rsidRPr="00E64D5A">
        <w:t xml:space="preserve"> </w:t>
      </w:r>
      <w:r w:rsidR="00E26B7D" w:rsidRPr="00E64D5A">
        <w:t>The 2019</w:t>
      </w:r>
      <w:r w:rsidR="00E92619" w:rsidRPr="00E64D5A">
        <w:t xml:space="preserve"> growing season rainfall was </w:t>
      </w:r>
      <w:r w:rsidR="00F222DA">
        <w:t>220</w:t>
      </w:r>
      <w:r w:rsidR="00E92619" w:rsidRPr="00E64D5A">
        <w:t>mm</w:t>
      </w:r>
      <w:r w:rsidR="00F222DA">
        <w:t xml:space="preserve"> (April to September, DPIRD Weather Station)</w:t>
      </w:r>
      <w:r w:rsidR="00AF3963">
        <w:t>,</w:t>
      </w:r>
      <w:r w:rsidR="003D5A49">
        <w:t xml:space="preserve"> </w:t>
      </w:r>
      <w:r w:rsidR="003D5A49" w:rsidRPr="003D5A49">
        <w:rPr>
          <w:szCs w:val="20"/>
        </w:rPr>
        <w:t>and</w:t>
      </w:r>
      <w:r w:rsidR="009562EC">
        <w:rPr>
          <w:szCs w:val="20"/>
        </w:rPr>
        <w:t xml:space="preserve"> had</w:t>
      </w:r>
      <w:r w:rsidR="003D5A49" w:rsidRPr="003D5A49">
        <w:rPr>
          <w:szCs w:val="20"/>
        </w:rPr>
        <w:t xml:space="preserve"> </w:t>
      </w:r>
      <w:r w:rsidR="003D5A49" w:rsidRPr="003D5A49">
        <w:rPr>
          <w:rFonts w:eastAsia="Times New Roman" w:cs="Arial"/>
          <w:szCs w:val="20"/>
          <w:lang w:eastAsia="en-AU"/>
        </w:rPr>
        <w:t>80.4</w:t>
      </w:r>
      <w:r w:rsidR="003D5A49">
        <w:rPr>
          <w:rFonts w:eastAsia="Times New Roman" w:cs="Arial"/>
          <w:szCs w:val="20"/>
          <w:lang w:eastAsia="en-AU"/>
        </w:rPr>
        <w:t>mm of summer rainfall (December 2018 to March</w:t>
      </w:r>
      <w:r w:rsidR="009562EC">
        <w:rPr>
          <w:rFonts w:eastAsia="Times New Roman" w:cs="Arial"/>
          <w:szCs w:val="20"/>
          <w:lang w:eastAsia="en-AU"/>
        </w:rPr>
        <w:t xml:space="preserve"> 2019</w:t>
      </w:r>
      <w:r w:rsidR="003D5A49">
        <w:rPr>
          <w:rFonts w:eastAsia="Times New Roman" w:cs="Arial"/>
          <w:szCs w:val="20"/>
          <w:lang w:eastAsia="en-AU"/>
        </w:rPr>
        <w:t>, DPIRD Weather Station).</w:t>
      </w:r>
      <w:r w:rsidR="00AF3963" w:rsidRPr="003D5A49">
        <w:rPr>
          <w:sz w:val="18"/>
        </w:rPr>
        <w:t xml:space="preserve"> </w:t>
      </w:r>
      <w:r w:rsidR="003D5A49">
        <w:t>T</w:t>
      </w:r>
      <w:r w:rsidR="00AF3963">
        <w:t>he season had a very hot and d</w:t>
      </w:r>
      <w:r w:rsidR="00AF3963" w:rsidRPr="0063009C">
        <w:t>ry September (3.4mm) with six days over 30</w:t>
      </w:r>
      <w:r w:rsidR="00791679" w:rsidRPr="0063009C">
        <w:rPr>
          <w:rFonts w:cs="Arial"/>
        </w:rPr>
        <w:t>°</w:t>
      </w:r>
      <w:r w:rsidR="00791679" w:rsidRPr="0063009C">
        <w:t>C, three</w:t>
      </w:r>
      <w:r w:rsidR="00EB3E85" w:rsidRPr="0063009C">
        <w:t xml:space="preserve"> of these days </w:t>
      </w:r>
      <w:r w:rsidR="00F157E3">
        <w:t xml:space="preserve">in </w:t>
      </w:r>
      <w:r w:rsidR="00EB3E85" w:rsidRPr="0063009C">
        <w:t>mid-September were</w:t>
      </w:r>
      <w:r w:rsidR="00791679" w:rsidRPr="0063009C">
        <w:t xml:space="preserve"> </w:t>
      </w:r>
      <w:r w:rsidR="00EB3E85" w:rsidRPr="0063009C">
        <w:t>consecutively</w:t>
      </w:r>
      <w:r w:rsidR="00791679" w:rsidRPr="0063009C">
        <w:t xml:space="preserve"> over 30</w:t>
      </w:r>
      <w:r w:rsidR="00791679" w:rsidRPr="0063009C">
        <w:rPr>
          <w:rFonts w:cs="Arial"/>
        </w:rPr>
        <w:t>°</w:t>
      </w:r>
      <w:r w:rsidR="00791679" w:rsidRPr="0063009C">
        <w:t>C</w:t>
      </w:r>
      <w:r w:rsidR="006615D0" w:rsidRPr="0063009C">
        <w:t xml:space="preserve">. </w:t>
      </w:r>
      <w:proofErr w:type="spellStart"/>
      <w:r w:rsidR="004C311A" w:rsidRPr="0063009C">
        <w:t>Scepter</w:t>
      </w:r>
      <w:proofErr w:type="spellEnd"/>
      <w:r w:rsidR="003A1EF9" w:rsidRPr="009562EC">
        <w:rPr>
          <w:noProof/>
          <w:vertAlign w:val="superscript"/>
          <w:lang w:eastAsia="en-AU"/>
        </w:rPr>
        <w:drawing>
          <wp:inline distT="0" distB="0" distL="0" distR="0" wp14:anchorId="4BCD275D" wp14:editId="186BF4ED">
            <wp:extent cx="81280" cy="75565"/>
            <wp:effectExtent l="0" t="0" r="0" b="635"/>
            <wp:docPr id="5" name="Picture 5" descr="PBR symbol"/>
            <wp:cNvGraphicFramePr/>
            <a:graphic xmlns:a="http://schemas.openxmlformats.org/drawingml/2006/main">
              <a:graphicData uri="http://schemas.openxmlformats.org/drawingml/2006/picture">
                <pic:pic xmlns:pic="http://schemas.openxmlformats.org/drawingml/2006/picture">
                  <pic:nvPicPr>
                    <pic:cNvPr id="5" name="Picture 5" descr="PBR symbo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 cy="75565"/>
                    </a:xfrm>
                    <a:prstGeom prst="rect">
                      <a:avLst/>
                    </a:prstGeom>
                    <a:noFill/>
                    <a:ln>
                      <a:noFill/>
                    </a:ln>
                  </pic:spPr>
                </pic:pic>
              </a:graphicData>
            </a:graphic>
          </wp:inline>
        </w:drawing>
      </w:r>
      <w:r w:rsidR="004C311A" w:rsidRPr="0063009C">
        <w:t xml:space="preserve"> wheat was sown</w:t>
      </w:r>
      <w:r w:rsidR="00B22BB8">
        <w:t xml:space="preserve"> at 55kg/ha</w:t>
      </w:r>
      <w:r w:rsidR="004C311A" w:rsidRPr="0063009C">
        <w:t xml:space="preserve"> into canola stubble on </w:t>
      </w:r>
      <w:r w:rsidR="00B22BB8">
        <w:t>12 May</w:t>
      </w:r>
      <w:r w:rsidR="004C311A" w:rsidRPr="0063009C">
        <w:t xml:space="preserve"> 2019</w:t>
      </w:r>
      <w:r w:rsidR="004C311A" w:rsidRPr="00E64D5A">
        <w:t xml:space="preserve"> with</w:t>
      </w:r>
      <w:r w:rsidR="00E9320F">
        <w:t xml:space="preserve"> 18</w:t>
      </w:r>
      <w:r w:rsidR="00B922A6">
        <w:t xml:space="preserve">kg/ha </w:t>
      </w:r>
      <w:r w:rsidR="00A10464">
        <w:t>of n</w:t>
      </w:r>
      <w:r w:rsidR="00E9320F">
        <w:t>itrogen, 6</w:t>
      </w:r>
      <w:r w:rsidR="00B922A6">
        <w:t xml:space="preserve">kg/ha of </w:t>
      </w:r>
      <w:r w:rsidR="00A10464">
        <w:lastRenderedPageBreak/>
        <w:t>phosph</w:t>
      </w:r>
      <w:r w:rsidR="00E9320F">
        <w:t>orus, 10kg/ha of potassium,</w:t>
      </w:r>
      <w:r w:rsidR="00E539C6">
        <w:t xml:space="preserve"> and</w:t>
      </w:r>
      <w:r w:rsidR="00E9320F">
        <w:t xml:space="preserve"> 5</w:t>
      </w:r>
      <w:r w:rsidR="00A10464">
        <w:t>kg/ha of s</w:t>
      </w:r>
      <w:r w:rsidR="00B922A6">
        <w:t>ulphur</w:t>
      </w:r>
      <w:r w:rsidR="00E9320F">
        <w:t xml:space="preserve"> at seeding</w:t>
      </w:r>
      <w:r w:rsidR="00F157E3">
        <w:t>.</w:t>
      </w:r>
      <w:r w:rsidR="00E9320F">
        <w:t xml:space="preserve"> </w:t>
      </w:r>
      <w:r w:rsidR="00F157E3">
        <w:t>A</w:t>
      </w:r>
      <w:r w:rsidR="00E9320F">
        <w:t>n additional 13</w:t>
      </w:r>
      <w:r w:rsidR="00B922A6">
        <w:t xml:space="preserve">kg/ha of nitrogen was applied late June. </w:t>
      </w:r>
    </w:p>
    <w:p w14:paraId="213CAAFE" w14:textId="77777777" w:rsidR="00663D71" w:rsidRDefault="00816EA4" w:rsidP="003D5A49">
      <w:pPr>
        <w:keepNext/>
      </w:pPr>
      <w:r w:rsidRPr="00E64D5A">
        <w:t xml:space="preserve">Treatments </w:t>
      </w:r>
      <w:r w:rsidR="00B656B1">
        <w:t>were</w:t>
      </w:r>
      <w:r w:rsidR="00B656B1" w:rsidRPr="00E64D5A">
        <w:t xml:space="preserve"> </w:t>
      </w:r>
      <w:r w:rsidR="00B656B1">
        <w:t>a factorial arrangement of lime</w:t>
      </w:r>
      <w:r w:rsidR="00BC6C20">
        <w:t xml:space="preserve"> sources</w:t>
      </w:r>
      <w:r w:rsidR="00B656B1">
        <w:t xml:space="preserve"> (nil lime and </w:t>
      </w:r>
      <w:r w:rsidR="009E4D4E" w:rsidRPr="00E64D5A">
        <w:t xml:space="preserve">three different lime sources at </w:t>
      </w:r>
      <w:r w:rsidR="004423F3" w:rsidRPr="00E64D5A">
        <w:t>low, medium and high</w:t>
      </w:r>
      <w:r w:rsidR="00B656B1">
        <w:t xml:space="preserve"> rates)</w:t>
      </w:r>
      <w:r w:rsidR="009E4D4E" w:rsidRPr="00E64D5A">
        <w:t xml:space="preserve"> and </w:t>
      </w:r>
      <w:r w:rsidR="006034DC">
        <w:t>cultivation</w:t>
      </w:r>
      <w:r w:rsidR="00B656B1">
        <w:t xml:space="preserve"> (nil and cultivated</w:t>
      </w:r>
      <w:r w:rsidR="00933FE7">
        <w:t xml:space="preserve"> with </w:t>
      </w:r>
      <w:r w:rsidR="006200C3">
        <w:t>an offset</w:t>
      </w:r>
      <w:r w:rsidR="00933FE7">
        <w:t xml:space="preserve"> disc to 20cm</w:t>
      </w:r>
      <w:r w:rsidR="006200C3">
        <w:t xml:space="preserve"> with a second pass in the opposite direction</w:t>
      </w:r>
      <w:r w:rsidR="00933FE7">
        <w:t>)</w:t>
      </w:r>
      <w:r w:rsidR="007450BB">
        <w:t xml:space="preserve"> (Table </w:t>
      </w:r>
      <w:r w:rsidR="00481961">
        <w:t>4</w:t>
      </w:r>
      <w:r w:rsidR="007450BB">
        <w:t>)</w:t>
      </w:r>
      <w:r w:rsidR="006034DC">
        <w:t>. Lime sources included coastal</w:t>
      </w:r>
      <w:r w:rsidR="009E4D4E" w:rsidRPr="00E64D5A">
        <w:t xml:space="preserve"> limesand</w:t>
      </w:r>
      <w:r w:rsidR="006034DC">
        <w:t>, high</w:t>
      </w:r>
      <w:r w:rsidR="001871FE">
        <w:t>er</w:t>
      </w:r>
      <w:r w:rsidR="006034DC">
        <w:t xml:space="preserve"> ENV dolerite on-farm lime </w:t>
      </w:r>
      <w:r w:rsidR="00B7475E">
        <w:t xml:space="preserve">sourced from an area associated with </w:t>
      </w:r>
      <w:proofErr w:type="spellStart"/>
      <w:r w:rsidR="00B7475E">
        <w:t>doleritic</w:t>
      </w:r>
      <w:proofErr w:type="spellEnd"/>
      <w:r w:rsidR="00B7475E">
        <w:t xml:space="preserve"> rocks </w:t>
      </w:r>
      <w:r w:rsidR="006034DC">
        <w:t>and a low</w:t>
      </w:r>
      <w:r w:rsidR="001871FE">
        <w:t>er</w:t>
      </w:r>
      <w:r w:rsidR="006034DC">
        <w:t xml:space="preserve"> ENV depositional</w:t>
      </w:r>
      <w:r w:rsidR="00B7475E">
        <w:t xml:space="preserve"> </w:t>
      </w:r>
      <w:proofErr w:type="spellStart"/>
      <w:r w:rsidR="00B7475E">
        <w:t>morrel</w:t>
      </w:r>
      <w:proofErr w:type="spellEnd"/>
      <w:r w:rsidR="006034DC">
        <w:t xml:space="preserve"> on-farm lime</w:t>
      </w:r>
      <w:r w:rsidR="009E4D4E" w:rsidRPr="00E64D5A">
        <w:t xml:space="preserve">. All three samples were </w:t>
      </w:r>
      <w:r w:rsidR="00264986" w:rsidRPr="00E64D5A">
        <w:t>analysed</w:t>
      </w:r>
      <w:r w:rsidR="009E4D4E" w:rsidRPr="00E64D5A">
        <w:t xml:space="preserve"> </w:t>
      </w:r>
      <w:r w:rsidR="00E539C6">
        <w:t>using a wet</w:t>
      </w:r>
      <w:r w:rsidR="00F157E3">
        <w:t>-</w:t>
      </w:r>
      <w:r w:rsidR="00E539C6">
        <w:t xml:space="preserve">sieve analysis </w:t>
      </w:r>
      <w:r w:rsidR="009E4D4E" w:rsidRPr="00E64D5A">
        <w:t xml:space="preserve">for </w:t>
      </w:r>
      <w:r w:rsidR="006034DC">
        <w:t xml:space="preserve">NV </w:t>
      </w:r>
      <w:r w:rsidR="009E4D4E" w:rsidRPr="00E64D5A">
        <w:t xml:space="preserve">and </w:t>
      </w:r>
      <w:r w:rsidR="00BC6C20">
        <w:t>particle</w:t>
      </w:r>
      <w:r w:rsidR="009E4D4E" w:rsidRPr="00E64D5A">
        <w:t xml:space="preserve"> size. </w:t>
      </w:r>
      <w:r w:rsidR="006034DC">
        <w:t>ENV</w:t>
      </w:r>
      <w:r w:rsidR="003A1EF9">
        <w:t>’</w:t>
      </w:r>
      <w:r w:rsidR="006034DC">
        <w:t>s</w:t>
      </w:r>
      <w:r w:rsidR="00264986" w:rsidRPr="00E64D5A">
        <w:t xml:space="preserve"> were</w:t>
      </w:r>
      <w:r w:rsidR="009E4D4E" w:rsidRPr="00E64D5A">
        <w:t xml:space="preserve"> calculate</w:t>
      </w:r>
      <w:r w:rsidR="00E26B7D" w:rsidRPr="00E64D5A">
        <w:t xml:space="preserve">d </w:t>
      </w:r>
      <w:r w:rsidR="00BC6C20">
        <w:t>based on research by Scott et al (</w:t>
      </w:r>
      <w:r w:rsidR="00BC6C20">
        <w:rPr>
          <w:bCs/>
        </w:rPr>
        <w:t>NSW Agriculture l</w:t>
      </w:r>
      <w:r w:rsidR="00F222DA">
        <w:rPr>
          <w:bCs/>
        </w:rPr>
        <w:t>ime comparison calculator 2003)</w:t>
      </w:r>
      <w:r w:rsidR="00B7475E" w:rsidRPr="00B7475E">
        <w:rPr>
          <w:bCs/>
        </w:rPr>
        <w:t xml:space="preserve"> </w:t>
      </w:r>
      <w:r w:rsidR="00B7475E">
        <w:rPr>
          <w:bCs/>
        </w:rPr>
        <w:t>and the WA Soil Quality “Lime benefit Calculator</w:t>
      </w:r>
      <w:r w:rsidR="009212A0">
        <w:rPr>
          <w:bCs/>
        </w:rPr>
        <w:t>”</w:t>
      </w:r>
      <w:r w:rsidR="00B7475E">
        <w:t xml:space="preserve"> (T</w:t>
      </w:r>
      <w:r w:rsidR="00B7475E" w:rsidRPr="00E64D5A">
        <w:t>able 2</w:t>
      </w:r>
      <w:r w:rsidR="00B7475E">
        <w:t xml:space="preserve"> and 3</w:t>
      </w:r>
      <w:r w:rsidR="00B7475E" w:rsidRPr="00E64D5A">
        <w:t>).</w:t>
      </w:r>
      <w:r w:rsidR="00B7475E">
        <w:t xml:space="preserve"> The NSW method was used to calculate the trial application rates using lime quality information provided by the owners of the lime sources. </w:t>
      </w:r>
      <w:r w:rsidR="003D5A49">
        <w:rPr>
          <w:rFonts w:cs="Arial"/>
          <w:szCs w:val="20"/>
        </w:rPr>
        <w:t>The trial</w:t>
      </w:r>
      <w:r w:rsidR="003D5A49" w:rsidRPr="00714AB6">
        <w:rPr>
          <w:rFonts w:cs="Arial"/>
          <w:szCs w:val="20"/>
        </w:rPr>
        <w:t xml:space="preserve"> </w:t>
      </w:r>
      <w:r w:rsidR="003D5A49">
        <w:rPr>
          <w:rFonts w:cs="Arial"/>
          <w:szCs w:val="20"/>
        </w:rPr>
        <w:t>had a</w:t>
      </w:r>
      <w:r w:rsidR="003D5A49" w:rsidRPr="00714AB6">
        <w:rPr>
          <w:rFonts w:cs="Arial"/>
          <w:szCs w:val="20"/>
        </w:rPr>
        <w:t xml:space="preserve"> criss-cross design with </w:t>
      </w:r>
      <w:r w:rsidR="003D5A49">
        <w:rPr>
          <w:rFonts w:cs="Arial"/>
          <w:szCs w:val="20"/>
        </w:rPr>
        <w:t>four</w:t>
      </w:r>
      <w:r w:rsidR="003D5A49" w:rsidRPr="00714AB6">
        <w:rPr>
          <w:rFonts w:cs="Arial"/>
          <w:szCs w:val="20"/>
        </w:rPr>
        <w:t xml:space="preserve"> randomised replicate blocks where the cultivation treatments </w:t>
      </w:r>
      <w:r w:rsidR="003D5A49">
        <w:rPr>
          <w:rFonts w:cs="Arial"/>
          <w:szCs w:val="20"/>
        </w:rPr>
        <w:t>were</w:t>
      </w:r>
      <w:r w:rsidR="003D5A49" w:rsidRPr="00714AB6">
        <w:rPr>
          <w:rFonts w:cs="Arial"/>
          <w:szCs w:val="20"/>
        </w:rPr>
        <w:t xml:space="preserve"> crossed with the ameliorant treatments at right-angles in each replicate (GenStat Statistics Guide 19</w:t>
      </w:r>
      <w:r w:rsidR="003D5A49" w:rsidRPr="00714AB6">
        <w:rPr>
          <w:rFonts w:cs="Arial"/>
          <w:szCs w:val="20"/>
          <w:vertAlign w:val="superscript"/>
        </w:rPr>
        <w:t>th</w:t>
      </w:r>
      <w:r w:rsidR="003D5A49" w:rsidRPr="00714AB6">
        <w:rPr>
          <w:rFonts w:cs="Arial"/>
          <w:szCs w:val="20"/>
        </w:rPr>
        <w:t xml:space="preserve"> Edition).</w:t>
      </w:r>
      <w:r w:rsidR="003D5A49">
        <w:rPr>
          <w:rFonts w:cs="Arial"/>
          <w:szCs w:val="20"/>
        </w:rPr>
        <w:t xml:space="preserve"> </w:t>
      </w:r>
      <w:r w:rsidR="003D5A49" w:rsidRPr="00714AB6">
        <w:rPr>
          <w:rFonts w:cs="Arial"/>
          <w:szCs w:val="20"/>
        </w:rPr>
        <w:t>The randomisation</w:t>
      </w:r>
      <w:r w:rsidR="003D5A49">
        <w:rPr>
          <w:rFonts w:cs="Arial"/>
          <w:szCs w:val="20"/>
        </w:rPr>
        <w:t xml:space="preserve"> was</w:t>
      </w:r>
      <w:r w:rsidR="003D5A49" w:rsidRPr="00714AB6">
        <w:rPr>
          <w:rFonts w:cs="Arial"/>
          <w:szCs w:val="20"/>
        </w:rPr>
        <w:t xml:space="preserve"> different for each replicate block.</w:t>
      </w:r>
      <w:r w:rsidR="00663D71" w:rsidRPr="00663D71">
        <w:t xml:space="preserve"> </w:t>
      </w:r>
    </w:p>
    <w:p w14:paraId="2F788DEB" w14:textId="77777777" w:rsidR="003D5A49" w:rsidRPr="0084494D" w:rsidRDefault="00663D71" w:rsidP="006200C3">
      <w:pPr>
        <w:keepNext/>
        <w:spacing w:after="0" w:line="240" w:lineRule="auto"/>
        <w:rPr>
          <w:b/>
          <w:sz w:val="22"/>
        </w:rPr>
      </w:pPr>
      <w:r w:rsidRPr="0084494D">
        <w:rPr>
          <w:b/>
          <w:sz w:val="22"/>
        </w:rPr>
        <w:t>Table 1</w:t>
      </w:r>
      <w:r w:rsidR="00F157E3">
        <w:rPr>
          <w:b/>
          <w:sz w:val="22"/>
        </w:rPr>
        <w:t>. S</w:t>
      </w:r>
      <w:r w:rsidR="00F157E3" w:rsidRPr="008E3AB7">
        <w:rPr>
          <w:b/>
          <w:sz w:val="22"/>
        </w:rPr>
        <w:t>oil properties</w:t>
      </w:r>
      <w:r w:rsidR="00F157E3">
        <w:rPr>
          <w:b/>
          <w:sz w:val="22"/>
        </w:rPr>
        <w:t xml:space="preserve"> at the </w:t>
      </w:r>
      <w:proofErr w:type="spellStart"/>
      <w:r w:rsidRPr="0084494D">
        <w:rPr>
          <w:b/>
          <w:sz w:val="22"/>
        </w:rPr>
        <w:t>Moorine</w:t>
      </w:r>
      <w:proofErr w:type="spellEnd"/>
      <w:r w:rsidRPr="0084494D">
        <w:rPr>
          <w:b/>
          <w:sz w:val="22"/>
        </w:rPr>
        <w:t xml:space="preserve"> Rock trial site</w:t>
      </w:r>
      <w:r w:rsidR="00F157E3">
        <w:rPr>
          <w:b/>
          <w:sz w:val="22"/>
        </w:rPr>
        <w:t xml:space="preserve"> (</w:t>
      </w:r>
      <w:r w:rsidR="00F157E3" w:rsidRPr="005615F0">
        <w:rPr>
          <w:b/>
          <w:sz w:val="22"/>
        </w:rPr>
        <w:t>2019</w:t>
      </w:r>
      <w:r w:rsidR="00F157E3">
        <w:rPr>
          <w:b/>
          <w:sz w:val="22"/>
        </w:rPr>
        <w:t>)</w:t>
      </w:r>
      <w:r w:rsidRPr="0084494D">
        <w:rPr>
          <w:b/>
          <w:sz w:val="22"/>
        </w:rPr>
        <w:t>.</w:t>
      </w:r>
    </w:p>
    <w:tbl>
      <w:tblPr>
        <w:tblStyle w:val="TableGrid"/>
        <w:tblpPr w:leftFromText="181" w:rightFromText="181" w:vertAnchor="text" w:horzAnchor="margin" w:tblpY="216"/>
        <w:tblW w:w="9384" w:type="dxa"/>
        <w:tblLook w:val="04A0" w:firstRow="1" w:lastRow="0" w:firstColumn="1" w:lastColumn="0" w:noHBand="0" w:noVBand="1"/>
      </w:tblPr>
      <w:tblGrid>
        <w:gridCol w:w="1564"/>
        <w:gridCol w:w="1564"/>
        <w:gridCol w:w="1564"/>
        <w:gridCol w:w="1564"/>
        <w:gridCol w:w="1564"/>
        <w:gridCol w:w="1564"/>
      </w:tblGrid>
      <w:tr w:rsidR="009562EC" w:rsidRPr="00E64D5A" w14:paraId="05C606C7" w14:textId="77777777" w:rsidTr="00663D71">
        <w:trPr>
          <w:cnfStyle w:val="100000000000" w:firstRow="1" w:lastRow="0" w:firstColumn="0" w:lastColumn="0" w:oddVBand="0" w:evenVBand="0" w:oddHBand="0" w:evenHBand="0" w:firstRowFirstColumn="0" w:firstRowLastColumn="0" w:lastRowFirstColumn="0" w:lastRowLastColumn="0"/>
          <w:trHeight w:val="218"/>
        </w:trPr>
        <w:tc>
          <w:tcPr>
            <w:tcW w:w="1564" w:type="dxa"/>
          </w:tcPr>
          <w:p w14:paraId="3EE93A53" w14:textId="77777777" w:rsidR="009562EC" w:rsidRPr="00EE683A" w:rsidRDefault="009562EC" w:rsidP="00663D71">
            <w:pPr>
              <w:keepNext/>
              <w:spacing w:after="0"/>
              <w:rPr>
                <w:bCs/>
                <w:sz w:val="18"/>
              </w:rPr>
            </w:pPr>
            <w:r w:rsidRPr="00EE683A">
              <w:rPr>
                <w:bCs/>
                <w:sz w:val="18"/>
              </w:rPr>
              <w:t>Depth (cm)</w:t>
            </w:r>
          </w:p>
        </w:tc>
        <w:tc>
          <w:tcPr>
            <w:tcW w:w="1564" w:type="dxa"/>
          </w:tcPr>
          <w:p w14:paraId="146F66B6" w14:textId="77777777" w:rsidR="009562EC" w:rsidRPr="00EE683A" w:rsidRDefault="009562EC" w:rsidP="00663D71">
            <w:pPr>
              <w:keepNext/>
              <w:spacing w:after="0"/>
              <w:rPr>
                <w:bCs/>
                <w:sz w:val="18"/>
              </w:rPr>
            </w:pPr>
            <w:r w:rsidRPr="00EE683A">
              <w:rPr>
                <w:bCs/>
                <w:sz w:val="18"/>
              </w:rPr>
              <w:t>Average Phosphorus Colwell (mg/kg)</w:t>
            </w:r>
          </w:p>
        </w:tc>
        <w:tc>
          <w:tcPr>
            <w:tcW w:w="1564" w:type="dxa"/>
          </w:tcPr>
          <w:p w14:paraId="10C3FE74" w14:textId="77777777" w:rsidR="009562EC" w:rsidRPr="00EE683A" w:rsidRDefault="009562EC" w:rsidP="00663D71">
            <w:pPr>
              <w:keepNext/>
              <w:spacing w:after="0"/>
              <w:rPr>
                <w:bCs/>
                <w:sz w:val="18"/>
              </w:rPr>
            </w:pPr>
            <w:r w:rsidRPr="00EE683A">
              <w:rPr>
                <w:bCs/>
                <w:sz w:val="18"/>
              </w:rPr>
              <w:t>Average Potassium Colwell (mg/kg)</w:t>
            </w:r>
          </w:p>
        </w:tc>
        <w:tc>
          <w:tcPr>
            <w:tcW w:w="1564" w:type="dxa"/>
          </w:tcPr>
          <w:p w14:paraId="4A0573AB" w14:textId="77777777" w:rsidR="009562EC" w:rsidRPr="00EE683A" w:rsidRDefault="009562EC" w:rsidP="00663D71">
            <w:pPr>
              <w:keepNext/>
              <w:spacing w:after="0"/>
              <w:rPr>
                <w:bCs/>
                <w:sz w:val="18"/>
              </w:rPr>
            </w:pPr>
            <w:r w:rsidRPr="00EE683A">
              <w:rPr>
                <w:bCs/>
                <w:sz w:val="18"/>
              </w:rPr>
              <w:t>Average Conductivity (</w:t>
            </w:r>
            <w:proofErr w:type="spellStart"/>
            <w:r w:rsidRPr="00EE683A">
              <w:rPr>
                <w:bCs/>
                <w:sz w:val="18"/>
              </w:rPr>
              <w:t>dS</w:t>
            </w:r>
            <w:proofErr w:type="spellEnd"/>
            <w:r w:rsidRPr="00EE683A">
              <w:rPr>
                <w:bCs/>
                <w:sz w:val="18"/>
              </w:rPr>
              <w:t>/m)</w:t>
            </w:r>
          </w:p>
        </w:tc>
        <w:tc>
          <w:tcPr>
            <w:tcW w:w="1564" w:type="dxa"/>
          </w:tcPr>
          <w:p w14:paraId="4E33448E" w14:textId="77777777" w:rsidR="009562EC" w:rsidRPr="00EE683A" w:rsidRDefault="009562EC" w:rsidP="00663D71">
            <w:pPr>
              <w:keepNext/>
              <w:spacing w:after="0"/>
              <w:rPr>
                <w:bCs/>
                <w:sz w:val="18"/>
              </w:rPr>
            </w:pPr>
            <w:r w:rsidRPr="00EE683A">
              <w:rPr>
                <w:bCs/>
                <w:sz w:val="18"/>
              </w:rPr>
              <w:t>Average                         pH Level (CaCl</w:t>
            </w:r>
            <w:r w:rsidRPr="006200C3">
              <w:rPr>
                <w:bCs/>
                <w:sz w:val="18"/>
                <w:vertAlign w:val="subscript"/>
              </w:rPr>
              <w:t>2</w:t>
            </w:r>
            <w:r w:rsidRPr="00EE683A">
              <w:rPr>
                <w:bCs/>
                <w:sz w:val="18"/>
              </w:rPr>
              <w:t>)</w:t>
            </w:r>
          </w:p>
        </w:tc>
        <w:tc>
          <w:tcPr>
            <w:tcW w:w="1564" w:type="dxa"/>
          </w:tcPr>
          <w:p w14:paraId="1FD9E8D5" w14:textId="77777777" w:rsidR="009562EC" w:rsidRPr="00EE683A" w:rsidRDefault="009562EC" w:rsidP="00663D71">
            <w:pPr>
              <w:keepNext/>
              <w:spacing w:after="0"/>
              <w:rPr>
                <w:bCs/>
                <w:sz w:val="18"/>
              </w:rPr>
            </w:pPr>
            <w:r w:rsidRPr="00EE683A">
              <w:rPr>
                <w:bCs/>
                <w:sz w:val="18"/>
              </w:rPr>
              <w:t>Average Aluminium CaCl</w:t>
            </w:r>
            <w:r w:rsidRPr="006200C3">
              <w:rPr>
                <w:bCs/>
                <w:sz w:val="18"/>
                <w:vertAlign w:val="subscript"/>
              </w:rPr>
              <w:t>2</w:t>
            </w:r>
            <w:r w:rsidRPr="00EE683A">
              <w:rPr>
                <w:bCs/>
                <w:sz w:val="18"/>
              </w:rPr>
              <w:t xml:space="preserve"> (mg/kg)</w:t>
            </w:r>
          </w:p>
        </w:tc>
      </w:tr>
      <w:tr w:rsidR="009562EC" w:rsidRPr="00E64D5A" w14:paraId="54981404" w14:textId="77777777" w:rsidTr="00663D71">
        <w:trPr>
          <w:trHeight w:val="218"/>
        </w:trPr>
        <w:tc>
          <w:tcPr>
            <w:tcW w:w="1564" w:type="dxa"/>
          </w:tcPr>
          <w:p w14:paraId="18FEBA24" w14:textId="77777777" w:rsidR="009562EC" w:rsidRPr="00AA0595" w:rsidRDefault="009562EC" w:rsidP="00663D71">
            <w:pPr>
              <w:keepNext/>
              <w:spacing w:after="0"/>
              <w:rPr>
                <w:sz w:val="18"/>
              </w:rPr>
            </w:pPr>
            <w:r w:rsidRPr="00AA0595">
              <w:rPr>
                <w:sz w:val="18"/>
              </w:rPr>
              <w:t>0-10</w:t>
            </w:r>
          </w:p>
        </w:tc>
        <w:tc>
          <w:tcPr>
            <w:tcW w:w="1564" w:type="dxa"/>
          </w:tcPr>
          <w:p w14:paraId="7F37B33E" w14:textId="77777777" w:rsidR="009562EC" w:rsidRPr="00AA0595" w:rsidRDefault="009562EC" w:rsidP="00663D71">
            <w:pPr>
              <w:keepNext/>
              <w:spacing w:after="0"/>
              <w:jc w:val="center"/>
              <w:rPr>
                <w:sz w:val="18"/>
              </w:rPr>
            </w:pPr>
            <w:r w:rsidRPr="00AA0595">
              <w:rPr>
                <w:sz w:val="18"/>
              </w:rPr>
              <w:t>19.6</w:t>
            </w:r>
          </w:p>
        </w:tc>
        <w:tc>
          <w:tcPr>
            <w:tcW w:w="1564" w:type="dxa"/>
          </w:tcPr>
          <w:p w14:paraId="16E44C42" w14:textId="77777777" w:rsidR="009562EC" w:rsidRPr="00AA0595" w:rsidRDefault="009562EC" w:rsidP="00663D71">
            <w:pPr>
              <w:keepNext/>
              <w:spacing w:after="0"/>
              <w:jc w:val="center"/>
              <w:rPr>
                <w:sz w:val="18"/>
              </w:rPr>
            </w:pPr>
            <w:r w:rsidRPr="00AA0595">
              <w:rPr>
                <w:sz w:val="18"/>
              </w:rPr>
              <w:t>55.2</w:t>
            </w:r>
          </w:p>
        </w:tc>
        <w:tc>
          <w:tcPr>
            <w:tcW w:w="1564" w:type="dxa"/>
          </w:tcPr>
          <w:p w14:paraId="4F4E47D5" w14:textId="77777777" w:rsidR="009562EC" w:rsidRPr="00AA0595" w:rsidRDefault="009562EC" w:rsidP="00663D71">
            <w:pPr>
              <w:keepNext/>
              <w:spacing w:after="0"/>
              <w:jc w:val="center"/>
              <w:rPr>
                <w:sz w:val="18"/>
              </w:rPr>
            </w:pPr>
            <w:r>
              <w:rPr>
                <w:sz w:val="18"/>
              </w:rPr>
              <w:t>0.04</w:t>
            </w:r>
          </w:p>
        </w:tc>
        <w:tc>
          <w:tcPr>
            <w:tcW w:w="1564" w:type="dxa"/>
          </w:tcPr>
          <w:p w14:paraId="092697A4" w14:textId="77777777" w:rsidR="009562EC" w:rsidRPr="00AA0595" w:rsidRDefault="009562EC" w:rsidP="00663D71">
            <w:pPr>
              <w:keepNext/>
              <w:spacing w:after="0"/>
              <w:jc w:val="center"/>
              <w:rPr>
                <w:sz w:val="18"/>
              </w:rPr>
            </w:pPr>
            <w:r w:rsidRPr="00AA0595">
              <w:rPr>
                <w:sz w:val="18"/>
              </w:rPr>
              <w:t>4.3</w:t>
            </w:r>
          </w:p>
        </w:tc>
        <w:tc>
          <w:tcPr>
            <w:tcW w:w="1564" w:type="dxa"/>
          </w:tcPr>
          <w:p w14:paraId="28941937" w14:textId="77777777" w:rsidR="009562EC" w:rsidRPr="00AA0595" w:rsidRDefault="009562EC" w:rsidP="00663D71">
            <w:pPr>
              <w:keepNext/>
              <w:spacing w:after="0"/>
              <w:jc w:val="center"/>
              <w:rPr>
                <w:sz w:val="18"/>
              </w:rPr>
            </w:pPr>
            <w:r w:rsidRPr="00AA0595">
              <w:rPr>
                <w:sz w:val="18"/>
              </w:rPr>
              <w:t>7.7</w:t>
            </w:r>
          </w:p>
        </w:tc>
      </w:tr>
      <w:tr w:rsidR="009562EC" w:rsidRPr="00E64D5A" w14:paraId="3DFC1316" w14:textId="77777777" w:rsidTr="00663D71">
        <w:trPr>
          <w:trHeight w:val="218"/>
        </w:trPr>
        <w:tc>
          <w:tcPr>
            <w:tcW w:w="1564" w:type="dxa"/>
          </w:tcPr>
          <w:p w14:paraId="6944D0C4" w14:textId="77777777" w:rsidR="009562EC" w:rsidRPr="00AA0595" w:rsidRDefault="009562EC" w:rsidP="00663D71">
            <w:pPr>
              <w:keepNext/>
              <w:spacing w:after="0"/>
              <w:rPr>
                <w:sz w:val="18"/>
              </w:rPr>
            </w:pPr>
            <w:r w:rsidRPr="00AA0595">
              <w:rPr>
                <w:sz w:val="18"/>
              </w:rPr>
              <w:t>10-20</w:t>
            </w:r>
          </w:p>
        </w:tc>
        <w:tc>
          <w:tcPr>
            <w:tcW w:w="1564" w:type="dxa"/>
          </w:tcPr>
          <w:p w14:paraId="1009DDF3" w14:textId="77777777" w:rsidR="009562EC" w:rsidRPr="00AA0595" w:rsidRDefault="009562EC" w:rsidP="00663D71">
            <w:pPr>
              <w:keepNext/>
              <w:spacing w:after="0"/>
              <w:jc w:val="center"/>
              <w:rPr>
                <w:sz w:val="18"/>
              </w:rPr>
            </w:pPr>
            <w:r w:rsidRPr="00AA0595">
              <w:rPr>
                <w:sz w:val="18"/>
              </w:rPr>
              <w:t>4.6</w:t>
            </w:r>
          </w:p>
        </w:tc>
        <w:tc>
          <w:tcPr>
            <w:tcW w:w="1564" w:type="dxa"/>
          </w:tcPr>
          <w:p w14:paraId="65947896" w14:textId="77777777" w:rsidR="009562EC" w:rsidRPr="00AA0595" w:rsidRDefault="009562EC" w:rsidP="00663D71">
            <w:pPr>
              <w:keepNext/>
              <w:spacing w:after="0"/>
              <w:jc w:val="center"/>
              <w:rPr>
                <w:sz w:val="18"/>
              </w:rPr>
            </w:pPr>
            <w:r w:rsidRPr="00AA0595">
              <w:rPr>
                <w:sz w:val="18"/>
              </w:rPr>
              <w:t>37.8</w:t>
            </w:r>
          </w:p>
        </w:tc>
        <w:tc>
          <w:tcPr>
            <w:tcW w:w="1564" w:type="dxa"/>
          </w:tcPr>
          <w:p w14:paraId="0BE2ED02" w14:textId="77777777" w:rsidR="009562EC" w:rsidRPr="00AA0595" w:rsidRDefault="009562EC" w:rsidP="00663D71">
            <w:pPr>
              <w:keepNext/>
              <w:spacing w:after="0"/>
              <w:jc w:val="center"/>
              <w:rPr>
                <w:sz w:val="18"/>
              </w:rPr>
            </w:pPr>
            <w:r>
              <w:rPr>
                <w:sz w:val="18"/>
              </w:rPr>
              <w:t>0.04</w:t>
            </w:r>
          </w:p>
        </w:tc>
        <w:tc>
          <w:tcPr>
            <w:tcW w:w="1564" w:type="dxa"/>
          </w:tcPr>
          <w:p w14:paraId="1BAB2964" w14:textId="77777777" w:rsidR="009562EC" w:rsidRPr="00AA0595" w:rsidRDefault="009562EC" w:rsidP="00663D71">
            <w:pPr>
              <w:keepNext/>
              <w:spacing w:after="0"/>
              <w:jc w:val="center"/>
              <w:rPr>
                <w:sz w:val="18"/>
              </w:rPr>
            </w:pPr>
            <w:r w:rsidRPr="00AA0595">
              <w:rPr>
                <w:sz w:val="18"/>
              </w:rPr>
              <w:t>4.2</w:t>
            </w:r>
          </w:p>
        </w:tc>
        <w:tc>
          <w:tcPr>
            <w:tcW w:w="1564" w:type="dxa"/>
          </w:tcPr>
          <w:p w14:paraId="105F95A2" w14:textId="77777777" w:rsidR="009562EC" w:rsidRPr="00AA0595" w:rsidRDefault="009562EC" w:rsidP="00663D71">
            <w:pPr>
              <w:keepNext/>
              <w:spacing w:after="0"/>
              <w:jc w:val="center"/>
              <w:rPr>
                <w:sz w:val="18"/>
              </w:rPr>
            </w:pPr>
            <w:r w:rsidRPr="00AA0595">
              <w:rPr>
                <w:sz w:val="18"/>
              </w:rPr>
              <w:t>13.1</w:t>
            </w:r>
          </w:p>
        </w:tc>
      </w:tr>
      <w:tr w:rsidR="009562EC" w:rsidRPr="00E64D5A" w14:paraId="195109C2" w14:textId="77777777" w:rsidTr="00663D71">
        <w:trPr>
          <w:trHeight w:val="218"/>
        </w:trPr>
        <w:tc>
          <w:tcPr>
            <w:tcW w:w="1564" w:type="dxa"/>
          </w:tcPr>
          <w:p w14:paraId="0A75056B" w14:textId="77777777" w:rsidR="009562EC" w:rsidRPr="00AA0595" w:rsidRDefault="009562EC" w:rsidP="00663D71">
            <w:pPr>
              <w:keepNext/>
              <w:spacing w:after="0"/>
              <w:rPr>
                <w:sz w:val="18"/>
              </w:rPr>
            </w:pPr>
            <w:r w:rsidRPr="00AA0595">
              <w:rPr>
                <w:sz w:val="18"/>
              </w:rPr>
              <w:t>20-30</w:t>
            </w:r>
          </w:p>
        </w:tc>
        <w:tc>
          <w:tcPr>
            <w:tcW w:w="1564" w:type="dxa"/>
          </w:tcPr>
          <w:p w14:paraId="465D85DB" w14:textId="77777777" w:rsidR="009562EC" w:rsidRPr="00AA0595" w:rsidRDefault="009562EC" w:rsidP="00663D71">
            <w:pPr>
              <w:keepNext/>
              <w:spacing w:after="0"/>
              <w:jc w:val="center"/>
              <w:rPr>
                <w:sz w:val="18"/>
              </w:rPr>
            </w:pPr>
            <w:r w:rsidRPr="00AA0595">
              <w:rPr>
                <w:sz w:val="18"/>
              </w:rPr>
              <w:t>3.3</w:t>
            </w:r>
          </w:p>
        </w:tc>
        <w:tc>
          <w:tcPr>
            <w:tcW w:w="1564" w:type="dxa"/>
          </w:tcPr>
          <w:p w14:paraId="0CE4EDF1" w14:textId="77777777" w:rsidR="009562EC" w:rsidRPr="00AA0595" w:rsidRDefault="009562EC" w:rsidP="00663D71">
            <w:pPr>
              <w:keepNext/>
              <w:spacing w:after="0"/>
              <w:jc w:val="center"/>
              <w:rPr>
                <w:sz w:val="18"/>
              </w:rPr>
            </w:pPr>
            <w:r w:rsidRPr="00AA0595">
              <w:rPr>
                <w:sz w:val="18"/>
              </w:rPr>
              <w:t>31.4</w:t>
            </w:r>
          </w:p>
        </w:tc>
        <w:tc>
          <w:tcPr>
            <w:tcW w:w="1564" w:type="dxa"/>
          </w:tcPr>
          <w:p w14:paraId="4588DFB0" w14:textId="77777777" w:rsidR="009562EC" w:rsidRPr="00AA0595" w:rsidRDefault="009562EC" w:rsidP="00663D71">
            <w:pPr>
              <w:keepNext/>
              <w:spacing w:after="0"/>
              <w:jc w:val="center"/>
              <w:rPr>
                <w:sz w:val="18"/>
              </w:rPr>
            </w:pPr>
            <w:r>
              <w:rPr>
                <w:sz w:val="18"/>
              </w:rPr>
              <w:t>0.03</w:t>
            </w:r>
          </w:p>
        </w:tc>
        <w:tc>
          <w:tcPr>
            <w:tcW w:w="1564" w:type="dxa"/>
          </w:tcPr>
          <w:p w14:paraId="2EFA3210" w14:textId="77777777" w:rsidR="009562EC" w:rsidRPr="00AA0595" w:rsidRDefault="009562EC" w:rsidP="00663D71">
            <w:pPr>
              <w:keepNext/>
              <w:spacing w:after="0"/>
              <w:jc w:val="center"/>
              <w:rPr>
                <w:sz w:val="18"/>
              </w:rPr>
            </w:pPr>
            <w:r w:rsidRPr="00AA0595">
              <w:rPr>
                <w:sz w:val="18"/>
              </w:rPr>
              <w:t>4.4</w:t>
            </w:r>
          </w:p>
        </w:tc>
        <w:tc>
          <w:tcPr>
            <w:tcW w:w="1564" w:type="dxa"/>
          </w:tcPr>
          <w:p w14:paraId="4F5F6275" w14:textId="77777777" w:rsidR="009562EC" w:rsidRPr="00AA0595" w:rsidRDefault="009562EC" w:rsidP="00663D71">
            <w:pPr>
              <w:keepNext/>
              <w:spacing w:after="0"/>
              <w:jc w:val="center"/>
              <w:rPr>
                <w:sz w:val="18"/>
              </w:rPr>
            </w:pPr>
            <w:r w:rsidRPr="00AA0595">
              <w:rPr>
                <w:sz w:val="18"/>
              </w:rPr>
              <w:t>7.1</w:t>
            </w:r>
          </w:p>
        </w:tc>
      </w:tr>
      <w:tr w:rsidR="009562EC" w:rsidRPr="00E64D5A" w14:paraId="2B6CD1BB" w14:textId="77777777" w:rsidTr="00663D71">
        <w:trPr>
          <w:trHeight w:val="218"/>
        </w:trPr>
        <w:tc>
          <w:tcPr>
            <w:tcW w:w="1564" w:type="dxa"/>
          </w:tcPr>
          <w:p w14:paraId="54F0167E" w14:textId="77777777" w:rsidR="009562EC" w:rsidRPr="00AA0595" w:rsidRDefault="009562EC" w:rsidP="00663D71">
            <w:pPr>
              <w:keepNext/>
              <w:spacing w:after="0"/>
              <w:rPr>
                <w:sz w:val="18"/>
              </w:rPr>
            </w:pPr>
            <w:r w:rsidRPr="00AA0595">
              <w:rPr>
                <w:sz w:val="18"/>
              </w:rPr>
              <w:t>30-50</w:t>
            </w:r>
          </w:p>
        </w:tc>
        <w:tc>
          <w:tcPr>
            <w:tcW w:w="1564" w:type="dxa"/>
          </w:tcPr>
          <w:p w14:paraId="199BB066" w14:textId="77777777" w:rsidR="009562EC" w:rsidRPr="00AA0595" w:rsidRDefault="009562EC" w:rsidP="00663D71">
            <w:pPr>
              <w:keepNext/>
              <w:spacing w:after="0"/>
              <w:jc w:val="center"/>
              <w:rPr>
                <w:sz w:val="18"/>
              </w:rPr>
            </w:pPr>
            <w:r w:rsidRPr="00AA0595">
              <w:rPr>
                <w:sz w:val="18"/>
              </w:rPr>
              <w:t>4.3</w:t>
            </w:r>
          </w:p>
        </w:tc>
        <w:tc>
          <w:tcPr>
            <w:tcW w:w="1564" w:type="dxa"/>
          </w:tcPr>
          <w:p w14:paraId="04CAFD9E" w14:textId="77777777" w:rsidR="009562EC" w:rsidRPr="00AA0595" w:rsidRDefault="009562EC" w:rsidP="00663D71">
            <w:pPr>
              <w:keepNext/>
              <w:spacing w:after="0"/>
              <w:jc w:val="center"/>
              <w:rPr>
                <w:sz w:val="18"/>
              </w:rPr>
            </w:pPr>
            <w:r w:rsidRPr="00AA0595">
              <w:rPr>
                <w:sz w:val="18"/>
              </w:rPr>
              <w:t>32.4</w:t>
            </w:r>
          </w:p>
        </w:tc>
        <w:tc>
          <w:tcPr>
            <w:tcW w:w="1564" w:type="dxa"/>
          </w:tcPr>
          <w:p w14:paraId="7A705197" w14:textId="77777777" w:rsidR="009562EC" w:rsidRPr="00AA0595" w:rsidRDefault="009562EC" w:rsidP="00663D71">
            <w:pPr>
              <w:keepNext/>
              <w:spacing w:after="0"/>
              <w:jc w:val="center"/>
              <w:rPr>
                <w:sz w:val="18"/>
              </w:rPr>
            </w:pPr>
            <w:r>
              <w:rPr>
                <w:sz w:val="18"/>
              </w:rPr>
              <w:t>0.03</w:t>
            </w:r>
          </w:p>
        </w:tc>
        <w:tc>
          <w:tcPr>
            <w:tcW w:w="1564" w:type="dxa"/>
          </w:tcPr>
          <w:p w14:paraId="41F6FABA" w14:textId="77777777" w:rsidR="009562EC" w:rsidRPr="00AA0595" w:rsidRDefault="009562EC" w:rsidP="00663D71">
            <w:pPr>
              <w:keepNext/>
              <w:spacing w:after="0"/>
              <w:jc w:val="center"/>
              <w:rPr>
                <w:sz w:val="18"/>
              </w:rPr>
            </w:pPr>
            <w:r w:rsidRPr="00AA0595">
              <w:rPr>
                <w:sz w:val="18"/>
              </w:rPr>
              <w:t>4.8</w:t>
            </w:r>
          </w:p>
        </w:tc>
        <w:tc>
          <w:tcPr>
            <w:tcW w:w="1564" w:type="dxa"/>
          </w:tcPr>
          <w:p w14:paraId="3AFD8890" w14:textId="77777777" w:rsidR="009562EC" w:rsidRPr="00AA0595" w:rsidRDefault="009562EC" w:rsidP="00663D71">
            <w:pPr>
              <w:keepNext/>
              <w:spacing w:after="0"/>
              <w:jc w:val="center"/>
              <w:rPr>
                <w:sz w:val="18"/>
              </w:rPr>
            </w:pPr>
            <w:r w:rsidRPr="00AA0595">
              <w:rPr>
                <w:sz w:val="18"/>
              </w:rPr>
              <w:t>0.9</w:t>
            </w:r>
          </w:p>
        </w:tc>
      </w:tr>
    </w:tbl>
    <w:p w14:paraId="08B6CF79" w14:textId="77777777" w:rsidR="00970C14" w:rsidRPr="0084494D" w:rsidRDefault="00ED2335" w:rsidP="00E75BA5">
      <w:pPr>
        <w:spacing w:before="240" w:after="0"/>
        <w:rPr>
          <w:b/>
          <w:sz w:val="22"/>
        </w:rPr>
      </w:pPr>
      <w:r w:rsidRPr="0084494D">
        <w:rPr>
          <w:b/>
          <w:sz w:val="22"/>
        </w:rPr>
        <w:t xml:space="preserve">Table </w:t>
      </w:r>
      <w:r w:rsidR="00E75BA5" w:rsidRPr="0084494D">
        <w:rPr>
          <w:b/>
          <w:sz w:val="22"/>
        </w:rPr>
        <w:t>2</w:t>
      </w:r>
      <w:r w:rsidR="00F157E3" w:rsidRPr="0084494D">
        <w:rPr>
          <w:b/>
          <w:sz w:val="22"/>
        </w:rPr>
        <w:t xml:space="preserve">. </w:t>
      </w:r>
      <w:r w:rsidRPr="0084494D">
        <w:rPr>
          <w:b/>
          <w:sz w:val="22"/>
        </w:rPr>
        <w:t xml:space="preserve"> </w:t>
      </w:r>
      <w:r w:rsidR="00F157E3">
        <w:rPr>
          <w:b/>
          <w:sz w:val="22"/>
        </w:rPr>
        <w:t>N</w:t>
      </w:r>
      <w:r w:rsidR="00F157E3" w:rsidRPr="001E4482">
        <w:rPr>
          <w:b/>
          <w:sz w:val="22"/>
        </w:rPr>
        <w:t xml:space="preserve">eutralising values </w:t>
      </w:r>
      <w:r w:rsidR="00F157E3">
        <w:rPr>
          <w:b/>
          <w:sz w:val="22"/>
        </w:rPr>
        <w:t>for each l</w:t>
      </w:r>
      <w:r w:rsidRPr="0084494D">
        <w:rPr>
          <w:b/>
          <w:sz w:val="22"/>
        </w:rPr>
        <w:t xml:space="preserve">ime source </w:t>
      </w:r>
      <w:r w:rsidR="00F157E3">
        <w:rPr>
          <w:b/>
          <w:sz w:val="22"/>
        </w:rPr>
        <w:t xml:space="preserve">calculated </w:t>
      </w:r>
      <w:r w:rsidRPr="0084494D">
        <w:rPr>
          <w:b/>
          <w:sz w:val="22"/>
        </w:rPr>
        <w:t>using the NSW Agriculture lime comparison calculator (2003) and the WA Soil Quality “Lime Benefit Calculator” (2017).</w:t>
      </w:r>
    </w:p>
    <w:tbl>
      <w:tblPr>
        <w:tblStyle w:val="TableGrid"/>
        <w:tblW w:w="6804" w:type="dxa"/>
        <w:tblLayout w:type="fixed"/>
        <w:tblLook w:val="04A0" w:firstRow="1" w:lastRow="0" w:firstColumn="1" w:lastColumn="0" w:noHBand="0" w:noVBand="1"/>
      </w:tblPr>
      <w:tblGrid>
        <w:gridCol w:w="1701"/>
        <w:gridCol w:w="1701"/>
        <w:gridCol w:w="1701"/>
        <w:gridCol w:w="1701"/>
      </w:tblGrid>
      <w:tr w:rsidR="00F222DA" w:rsidRPr="00E64D5A" w14:paraId="4FEE58F1" w14:textId="77777777" w:rsidTr="00663D71">
        <w:trPr>
          <w:cnfStyle w:val="100000000000" w:firstRow="1" w:lastRow="0" w:firstColumn="0" w:lastColumn="0" w:oddVBand="0" w:evenVBand="0" w:oddHBand="0" w:evenHBand="0" w:firstRowFirstColumn="0" w:firstRowLastColumn="0" w:lastRowFirstColumn="0" w:lastRowLastColumn="0"/>
          <w:trHeight w:val="408"/>
        </w:trPr>
        <w:tc>
          <w:tcPr>
            <w:tcW w:w="1701" w:type="dxa"/>
            <w:vMerge w:val="restart"/>
            <w:tcBorders>
              <w:top w:val="single" w:sz="4" w:space="0" w:color="538135" w:themeColor="accent6" w:themeShade="BF"/>
              <w:left w:val="single" w:sz="4" w:space="0" w:color="538135" w:themeColor="accent6" w:themeShade="BF"/>
              <w:bottom w:val="single" w:sz="4" w:space="0" w:color="FFFFFF" w:themeColor="background1"/>
              <w:right w:val="single" w:sz="4" w:space="0" w:color="FFFFFF" w:themeColor="background1"/>
            </w:tcBorders>
            <w:noWrap/>
            <w:hideMark/>
          </w:tcPr>
          <w:p w14:paraId="684214F2" w14:textId="77777777" w:rsidR="00F222DA" w:rsidRPr="00EE683A" w:rsidRDefault="00F222DA" w:rsidP="00663D71">
            <w:pPr>
              <w:keepNext/>
              <w:spacing w:after="0"/>
              <w:rPr>
                <w:sz w:val="18"/>
              </w:rPr>
            </w:pPr>
            <w:r w:rsidRPr="00EE683A">
              <w:rPr>
                <w:sz w:val="18"/>
              </w:rPr>
              <w:t>Lime Source</w:t>
            </w:r>
          </w:p>
        </w:tc>
        <w:tc>
          <w:tcPr>
            <w:tcW w:w="1701" w:type="dxa"/>
            <w:vMerge w:val="restart"/>
            <w:tcBorders>
              <w:top w:val="single" w:sz="4" w:space="0" w:color="538135" w:themeColor="accent6" w:themeShade="BF"/>
              <w:left w:val="single" w:sz="4" w:space="0" w:color="FFFFFF" w:themeColor="background1"/>
              <w:bottom w:val="single" w:sz="4" w:space="0" w:color="FFFFFF" w:themeColor="background1"/>
              <w:right w:val="single" w:sz="4" w:space="0" w:color="FFFFFF" w:themeColor="background1"/>
            </w:tcBorders>
          </w:tcPr>
          <w:p w14:paraId="4A2A6666" w14:textId="77777777" w:rsidR="00F222DA" w:rsidRPr="00EE683A" w:rsidRDefault="00F222DA" w:rsidP="00663D71">
            <w:pPr>
              <w:keepNext/>
              <w:spacing w:after="0"/>
              <w:rPr>
                <w:sz w:val="18"/>
              </w:rPr>
            </w:pPr>
            <w:r w:rsidRPr="00EE683A">
              <w:rPr>
                <w:sz w:val="18"/>
              </w:rPr>
              <w:t>Wet sieve ENV% (NSW)</w:t>
            </w:r>
          </w:p>
        </w:tc>
        <w:tc>
          <w:tcPr>
            <w:tcW w:w="1701" w:type="dxa"/>
            <w:vMerge w:val="restart"/>
            <w:tcBorders>
              <w:top w:val="single" w:sz="4" w:space="0" w:color="538135" w:themeColor="accent6" w:themeShade="BF"/>
              <w:left w:val="single" w:sz="4" w:space="0" w:color="FFFFFF" w:themeColor="background1"/>
              <w:bottom w:val="single" w:sz="4" w:space="0" w:color="FFFFFF" w:themeColor="background1"/>
              <w:right w:val="single" w:sz="4" w:space="0" w:color="FFFFFF" w:themeColor="background1"/>
            </w:tcBorders>
          </w:tcPr>
          <w:p w14:paraId="57A732C4" w14:textId="77777777" w:rsidR="00F222DA" w:rsidRPr="00EE683A" w:rsidRDefault="00970C14" w:rsidP="00663D71">
            <w:pPr>
              <w:keepNext/>
              <w:spacing w:after="0"/>
              <w:rPr>
                <w:sz w:val="18"/>
              </w:rPr>
            </w:pPr>
            <w:r w:rsidRPr="00EE683A">
              <w:rPr>
                <w:sz w:val="18"/>
              </w:rPr>
              <w:t>Wet sieve ENV% (WA)</w:t>
            </w:r>
          </w:p>
        </w:tc>
        <w:tc>
          <w:tcPr>
            <w:tcW w:w="1701" w:type="dxa"/>
            <w:vMerge w:val="restart"/>
            <w:tcBorders>
              <w:top w:val="single" w:sz="4" w:space="0" w:color="538135" w:themeColor="accent6" w:themeShade="BF"/>
              <w:left w:val="single" w:sz="4" w:space="0" w:color="FFFFFF" w:themeColor="background1"/>
              <w:bottom w:val="single" w:sz="4" w:space="0" w:color="FFFFFF" w:themeColor="background1"/>
              <w:right w:val="single" w:sz="4" w:space="0" w:color="538135" w:themeColor="accent6" w:themeShade="BF"/>
            </w:tcBorders>
          </w:tcPr>
          <w:p w14:paraId="44536FA1" w14:textId="77777777" w:rsidR="00F222DA" w:rsidRPr="00EE683A" w:rsidRDefault="00F222DA" w:rsidP="00663D71">
            <w:pPr>
              <w:keepNext/>
              <w:spacing w:after="0"/>
              <w:rPr>
                <w:sz w:val="18"/>
              </w:rPr>
            </w:pPr>
            <w:r w:rsidRPr="00EE683A">
              <w:rPr>
                <w:sz w:val="18"/>
              </w:rPr>
              <w:t>Total NV%</w:t>
            </w:r>
          </w:p>
        </w:tc>
      </w:tr>
      <w:tr w:rsidR="00F222DA" w:rsidRPr="00E64D5A" w14:paraId="16C5BE45" w14:textId="77777777" w:rsidTr="00663D71">
        <w:trPr>
          <w:trHeight w:val="207"/>
        </w:trPr>
        <w:tc>
          <w:tcPr>
            <w:tcW w:w="1701" w:type="dxa"/>
            <w:vMerge/>
            <w:tcBorders>
              <w:top w:val="single" w:sz="4" w:space="0" w:color="FFFFFF" w:themeColor="background1"/>
              <w:left w:val="single" w:sz="4" w:space="0" w:color="538135" w:themeColor="accent6" w:themeShade="BF"/>
              <w:right w:val="single" w:sz="4" w:space="0" w:color="FFFFFF" w:themeColor="background1"/>
            </w:tcBorders>
            <w:noWrap/>
          </w:tcPr>
          <w:p w14:paraId="05D6ED25" w14:textId="77777777" w:rsidR="00F222DA" w:rsidRPr="00AA0595" w:rsidRDefault="00F222DA" w:rsidP="00663D71">
            <w:pPr>
              <w:keepNext/>
              <w:spacing w:after="0"/>
              <w:rPr>
                <w:sz w:val="18"/>
              </w:rPr>
            </w:pPr>
          </w:p>
        </w:tc>
        <w:tc>
          <w:tcPr>
            <w:tcW w:w="17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464E2" w14:textId="77777777" w:rsidR="00F222DA" w:rsidRPr="00AA0595" w:rsidRDefault="00F222DA" w:rsidP="00663D71">
            <w:pPr>
              <w:keepNext/>
              <w:spacing w:after="0"/>
              <w:rPr>
                <w:sz w:val="18"/>
              </w:rPr>
            </w:pPr>
          </w:p>
        </w:tc>
        <w:tc>
          <w:tcPr>
            <w:tcW w:w="17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EEDAC" w14:textId="77777777" w:rsidR="00F222DA" w:rsidRPr="00AA0595" w:rsidRDefault="00F222DA" w:rsidP="00663D71">
            <w:pPr>
              <w:keepNext/>
              <w:spacing w:after="0"/>
              <w:rPr>
                <w:sz w:val="18"/>
              </w:rPr>
            </w:pPr>
          </w:p>
        </w:tc>
        <w:tc>
          <w:tcPr>
            <w:tcW w:w="1701" w:type="dxa"/>
            <w:vMerge/>
            <w:tcBorders>
              <w:top w:val="single" w:sz="4" w:space="0" w:color="FFFFFF" w:themeColor="background1"/>
              <w:left w:val="single" w:sz="4" w:space="0" w:color="FFFFFF" w:themeColor="background1"/>
              <w:bottom w:val="single" w:sz="4" w:space="0" w:color="FFFFFF" w:themeColor="background1"/>
              <w:right w:val="single" w:sz="4" w:space="0" w:color="538135" w:themeColor="accent6" w:themeShade="BF"/>
            </w:tcBorders>
          </w:tcPr>
          <w:p w14:paraId="7AE0A278" w14:textId="77777777" w:rsidR="00F222DA" w:rsidRPr="00AA0595" w:rsidRDefault="00F222DA" w:rsidP="00663D71">
            <w:pPr>
              <w:keepNext/>
              <w:spacing w:after="0"/>
              <w:rPr>
                <w:sz w:val="18"/>
              </w:rPr>
            </w:pPr>
          </w:p>
        </w:tc>
      </w:tr>
      <w:tr w:rsidR="003D5A49" w:rsidRPr="00E64D5A" w14:paraId="115F909C" w14:textId="77777777" w:rsidTr="00663D71">
        <w:trPr>
          <w:trHeight w:val="20"/>
        </w:trPr>
        <w:tc>
          <w:tcPr>
            <w:tcW w:w="1701" w:type="dxa"/>
            <w:noWrap/>
            <w:hideMark/>
          </w:tcPr>
          <w:p w14:paraId="3B212D77" w14:textId="77777777" w:rsidR="003D5A49" w:rsidRPr="00AA0595" w:rsidRDefault="003D5A49" w:rsidP="00663D71">
            <w:pPr>
              <w:keepNext/>
              <w:spacing w:after="0"/>
              <w:rPr>
                <w:sz w:val="18"/>
              </w:rPr>
            </w:pPr>
            <w:r w:rsidRPr="00AA0595">
              <w:rPr>
                <w:sz w:val="18"/>
              </w:rPr>
              <w:t>Limesand</w:t>
            </w:r>
          </w:p>
        </w:tc>
        <w:tc>
          <w:tcPr>
            <w:tcW w:w="1701" w:type="dxa"/>
            <w:tcBorders>
              <w:top w:val="single" w:sz="4" w:space="0" w:color="FFFFFF" w:themeColor="background1"/>
            </w:tcBorders>
          </w:tcPr>
          <w:p w14:paraId="02DA0441" w14:textId="77777777" w:rsidR="003D5A49" w:rsidRPr="00AA0595" w:rsidRDefault="003D5A49" w:rsidP="00663D71">
            <w:pPr>
              <w:keepNext/>
              <w:spacing w:after="0"/>
              <w:jc w:val="center"/>
              <w:rPr>
                <w:sz w:val="18"/>
              </w:rPr>
            </w:pPr>
            <w:r w:rsidRPr="00AA0595">
              <w:rPr>
                <w:sz w:val="18"/>
              </w:rPr>
              <w:t>43</w:t>
            </w:r>
          </w:p>
        </w:tc>
        <w:tc>
          <w:tcPr>
            <w:tcW w:w="1701" w:type="dxa"/>
            <w:tcBorders>
              <w:top w:val="single" w:sz="4" w:space="0" w:color="FFFFFF" w:themeColor="background1"/>
            </w:tcBorders>
          </w:tcPr>
          <w:p w14:paraId="00E1D2D0" w14:textId="77777777" w:rsidR="003D5A49" w:rsidRPr="00AA0595" w:rsidRDefault="003D5A49" w:rsidP="00663D71">
            <w:pPr>
              <w:keepNext/>
              <w:spacing w:after="0"/>
              <w:jc w:val="center"/>
              <w:rPr>
                <w:sz w:val="18"/>
              </w:rPr>
            </w:pPr>
            <w:r>
              <w:rPr>
                <w:sz w:val="18"/>
              </w:rPr>
              <w:t>79.6</w:t>
            </w:r>
          </w:p>
        </w:tc>
        <w:tc>
          <w:tcPr>
            <w:tcW w:w="1701" w:type="dxa"/>
            <w:tcBorders>
              <w:top w:val="single" w:sz="4" w:space="0" w:color="FFFFFF" w:themeColor="background1"/>
            </w:tcBorders>
          </w:tcPr>
          <w:p w14:paraId="72611495" w14:textId="77777777" w:rsidR="003D5A49" w:rsidRPr="00AA0595" w:rsidRDefault="003D5A49" w:rsidP="00663D71">
            <w:pPr>
              <w:keepNext/>
              <w:spacing w:after="0"/>
              <w:jc w:val="center"/>
              <w:rPr>
                <w:sz w:val="18"/>
              </w:rPr>
            </w:pPr>
            <w:r>
              <w:rPr>
                <w:sz w:val="18"/>
              </w:rPr>
              <w:t>86.6</w:t>
            </w:r>
          </w:p>
        </w:tc>
      </w:tr>
      <w:tr w:rsidR="003D5A49" w:rsidRPr="00E64D5A" w14:paraId="4F19EF8D" w14:textId="77777777" w:rsidTr="00663D71">
        <w:trPr>
          <w:trHeight w:val="20"/>
        </w:trPr>
        <w:tc>
          <w:tcPr>
            <w:tcW w:w="1701" w:type="dxa"/>
            <w:noWrap/>
            <w:hideMark/>
          </w:tcPr>
          <w:p w14:paraId="1A3B7A7B" w14:textId="77777777" w:rsidR="003D5A49" w:rsidRPr="00AA0595" w:rsidRDefault="003D5A49" w:rsidP="00663D71">
            <w:pPr>
              <w:keepNext/>
              <w:spacing w:after="0"/>
              <w:rPr>
                <w:sz w:val="18"/>
              </w:rPr>
            </w:pPr>
            <w:r w:rsidRPr="00AA0595">
              <w:rPr>
                <w:sz w:val="18"/>
              </w:rPr>
              <w:t>Local depositional</w:t>
            </w:r>
            <w:r w:rsidR="009D5DB6">
              <w:rPr>
                <w:sz w:val="18"/>
              </w:rPr>
              <w:t xml:space="preserve"> </w:t>
            </w:r>
            <w:proofErr w:type="spellStart"/>
            <w:r w:rsidR="009D5DB6">
              <w:rPr>
                <w:sz w:val="18"/>
              </w:rPr>
              <w:t>morrel</w:t>
            </w:r>
            <w:proofErr w:type="spellEnd"/>
          </w:p>
        </w:tc>
        <w:tc>
          <w:tcPr>
            <w:tcW w:w="1701" w:type="dxa"/>
          </w:tcPr>
          <w:p w14:paraId="76D670EF" w14:textId="77777777" w:rsidR="003D5A49" w:rsidRPr="00AA0595" w:rsidRDefault="003D5A49" w:rsidP="00663D71">
            <w:pPr>
              <w:keepNext/>
              <w:spacing w:after="0"/>
              <w:jc w:val="center"/>
              <w:rPr>
                <w:sz w:val="18"/>
              </w:rPr>
            </w:pPr>
            <w:r>
              <w:rPr>
                <w:sz w:val="18"/>
              </w:rPr>
              <w:t>12.8</w:t>
            </w:r>
          </w:p>
        </w:tc>
        <w:tc>
          <w:tcPr>
            <w:tcW w:w="1701" w:type="dxa"/>
          </w:tcPr>
          <w:p w14:paraId="1BB78021" w14:textId="77777777" w:rsidR="003D5A49" w:rsidRPr="00AA0595" w:rsidRDefault="003D5A49" w:rsidP="00663D71">
            <w:pPr>
              <w:keepNext/>
              <w:spacing w:after="0"/>
              <w:jc w:val="center"/>
              <w:rPr>
                <w:sz w:val="18"/>
              </w:rPr>
            </w:pPr>
            <w:r>
              <w:rPr>
                <w:sz w:val="18"/>
              </w:rPr>
              <w:t>17.9</w:t>
            </w:r>
          </w:p>
        </w:tc>
        <w:tc>
          <w:tcPr>
            <w:tcW w:w="1701" w:type="dxa"/>
          </w:tcPr>
          <w:p w14:paraId="69BB3CD7" w14:textId="77777777" w:rsidR="003D5A49" w:rsidRPr="00AA0595" w:rsidRDefault="003D5A49" w:rsidP="00663D71">
            <w:pPr>
              <w:keepNext/>
              <w:spacing w:after="0"/>
              <w:jc w:val="center"/>
              <w:rPr>
                <w:sz w:val="18"/>
              </w:rPr>
            </w:pPr>
            <w:r w:rsidRPr="00AA0595">
              <w:rPr>
                <w:sz w:val="18"/>
              </w:rPr>
              <w:t>47.</w:t>
            </w:r>
            <w:r>
              <w:rPr>
                <w:sz w:val="18"/>
              </w:rPr>
              <w:t>9</w:t>
            </w:r>
          </w:p>
        </w:tc>
      </w:tr>
      <w:tr w:rsidR="003D5A49" w:rsidRPr="00E64D5A" w14:paraId="59A7910E" w14:textId="77777777" w:rsidTr="00663D71">
        <w:trPr>
          <w:trHeight w:val="20"/>
        </w:trPr>
        <w:tc>
          <w:tcPr>
            <w:tcW w:w="1701" w:type="dxa"/>
            <w:noWrap/>
            <w:hideMark/>
          </w:tcPr>
          <w:p w14:paraId="3107E032" w14:textId="77777777" w:rsidR="003D5A49" w:rsidRPr="00AA0595" w:rsidRDefault="003D5A49" w:rsidP="00663D71">
            <w:pPr>
              <w:keepNext/>
              <w:spacing w:after="0"/>
              <w:rPr>
                <w:sz w:val="18"/>
              </w:rPr>
            </w:pPr>
            <w:r w:rsidRPr="00AA0595">
              <w:rPr>
                <w:sz w:val="18"/>
              </w:rPr>
              <w:t>Local dolerite</w:t>
            </w:r>
          </w:p>
        </w:tc>
        <w:tc>
          <w:tcPr>
            <w:tcW w:w="1701" w:type="dxa"/>
          </w:tcPr>
          <w:p w14:paraId="1630AE31" w14:textId="77777777" w:rsidR="003D5A49" w:rsidRPr="00AA0595" w:rsidRDefault="003D5A49" w:rsidP="00663D71">
            <w:pPr>
              <w:keepNext/>
              <w:spacing w:after="0"/>
              <w:jc w:val="center"/>
              <w:rPr>
                <w:sz w:val="18"/>
              </w:rPr>
            </w:pPr>
            <w:r>
              <w:rPr>
                <w:sz w:val="18"/>
              </w:rPr>
              <w:t>19.6</w:t>
            </w:r>
          </w:p>
        </w:tc>
        <w:tc>
          <w:tcPr>
            <w:tcW w:w="1701" w:type="dxa"/>
          </w:tcPr>
          <w:p w14:paraId="649740FA" w14:textId="77777777" w:rsidR="003D5A49" w:rsidRPr="00AA0595" w:rsidRDefault="003D5A49" w:rsidP="00663D71">
            <w:pPr>
              <w:keepNext/>
              <w:spacing w:after="0"/>
              <w:jc w:val="center"/>
              <w:rPr>
                <w:sz w:val="18"/>
              </w:rPr>
            </w:pPr>
            <w:r>
              <w:rPr>
                <w:sz w:val="18"/>
              </w:rPr>
              <w:t>21.0</w:t>
            </w:r>
          </w:p>
        </w:tc>
        <w:tc>
          <w:tcPr>
            <w:tcW w:w="1701" w:type="dxa"/>
          </w:tcPr>
          <w:p w14:paraId="19A492FC" w14:textId="77777777" w:rsidR="003D5A49" w:rsidRPr="00AA0595" w:rsidRDefault="003D5A49" w:rsidP="00663D71">
            <w:pPr>
              <w:keepNext/>
              <w:spacing w:after="0"/>
              <w:jc w:val="center"/>
              <w:rPr>
                <w:sz w:val="18"/>
              </w:rPr>
            </w:pPr>
            <w:r>
              <w:rPr>
                <w:sz w:val="18"/>
              </w:rPr>
              <w:t>23.6</w:t>
            </w:r>
          </w:p>
        </w:tc>
      </w:tr>
      <w:tr w:rsidR="00F222DA" w:rsidRPr="00E64D5A" w14:paraId="1DC47D48" w14:textId="77777777" w:rsidTr="00663D71">
        <w:trPr>
          <w:trHeight w:val="20"/>
        </w:trPr>
        <w:tc>
          <w:tcPr>
            <w:tcW w:w="1701" w:type="dxa"/>
            <w:noWrap/>
            <w:hideMark/>
          </w:tcPr>
          <w:p w14:paraId="0C74B92E" w14:textId="77777777" w:rsidR="00F222DA" w:rsidRPr="00AA0595" w:rsidRDefault="00F222DA" w:rsidP="00663D71">
            <w:pPr>
              <w:keepNext/>
              <w:spacing w:after="0"/>
              <w:rPr>
                <w:sz w:val="18"/>
              </w:rPr>
            </w:pPr>
            <w:r w:rsidRPr="00AA0595">
              <w:rPr>
                <w:sz w:val="18"/>
              </w:rPr>
              <w:t>Nil Lime</w:t>
            </w:r>
          </w:p>
        </w:tc>
        <w:tc>
          <w:tcPr>
            <w:tcW w:w="1701" w:type="dxa"/>
          </w:tcPr>
          <w:p w14:paraId="74F0CD2F" w14:textId="77777777" w:rsidR="00F222DA" w:rsidRPr="00AA0595" w:rsidRDefault="00F222DA" w:rsidP="00663D71">
            <w:pPr>
              <w:keepNext/>
              <w:spacing w:after="0"/>
              <w:jc w:val="center"/>
              <w:rPr>
                <w:sz w:val="18"/>
              </w:rPr>
            </w:pPr>
            <w:r w:rsidRPr="00AA0595">
              <w:rPr>
                <w:sz w:val="18"/>
              </w:rPr>
              <w:t>0</w:t>
            </w:r>
          </w:p>
        </w:tc>
        <w:tc>
          <w:tcPr>
            <w:tcW w:w="1701" w:type="dxa"/>
          </w:tcPr>
          <w:p w14:paraId="54FC7C1C" w14:textId="77777777" w:rsidR="00F222DA" w:rsidRPr="00AA0595" w:rsidRDefault="00F222DA" w:rsidP="00663D71">
            <w:pPr>
              <w:keepNext/>
              <w:spacing w:after="0"/>
              <w:jc w:val="center"/>
              <w:rPr>
                <w:sz w:val="18"/>
              </w:rPr>
            </w:pPr>
            <w:r w:rsidRPr="00AA0595">
              <w:rPr>
                <w:sz w:val="18"/>
              </w:rPr>
              <w:t>0</w:t>
            </w:r>
          </w:p>
        </w:tc>
        <w:tc>
          <w:tcPr>
            <w:tcW w:w="1701" w:type="dxa"/>
          </w:tcPr>
          <w:p w14:paraId="753217B5" w14:textId="77777777" w:rsidR="00F222DA" w:rsidRPr="00AA0595" w:rsidRDefault="00F222DA" w:rsidP="00663D71">
            <w:pPr>
              <w:keepNext/>
              <w:spacing w:after="0"/>
              <w:jc w:val="center"/>
              <w:rPr>
                <w:sz w:val="18"/>
              </w:rPr>
            </w:pPr>
            <w:r w:rsidRPr="00AA0595">
              <w:rPr>
                <w:sz w:val="18"/>
              </w:rPr>
              <w:t>0</w:t>
            </w:r>
          </w:p>
        </w:tc>
      </w:tr>
    </w:tbl>
    <w:p w14:paraId="1606F6D2" w14:textId="77777777" w:rsidR="00381BB1" w:rsidRPr="0084494D" w:rsidRDefault="00381BB1" w:rsidP="00E75BA5">
      <w:pPr>
        <w:spacing w:before="240" w:after="0"/>
        <w:rPr>
          <w:b/>
          <w:sz w:val="22"/>
        </w:rPr>
      </w:pPr>
      <w:r w:rsidRPr="0084494D">
        <w:rPr>
          <w:b/>
          <w:sz w:val="22"/>
        </w:rPr>
        <w:t>Table 3</w:t>
      </w:r>
      <w:r w:rsidR="00F157E3" w:rsidRPr="0084494D">
        <w:rPr>
          <w:b/>
          <w:sz w:val="22"/>
        </w:rPr>
        <w:t xml:space="preserve">. </w:t>
      </w:r>
      <w:r w:rsidRPr="0084494D">
        <w:rPr>
          <w:b/>
          <w:sz w:val="22"/>
        </w:rPr>
        <w:t xml:space="preserve"> </w:t>
      </w:r>
      <w:r w:rsidR="00F157E3">
        <w:rPr>
          <w:b/>
          <w:sz w:val="22"/>
        </w:rPr>
        <w:t>P</w:t>
      </w:r>
      <w:r w:rsidR="00F157E3" w:rsidRPr="007C0697">
        <w:rPr>
          <w:b/>
          <w:sz w:val="22"/>
        </w:rPr>
        <w:t>article size distribution (%) and neutralising values</w:t>
      </w:r>
      <w:r w:rsidR="00F157E3" w:rsidRPr="00F157E3">
        <w:rPr>
          <w:b/>
          <w:sz w:val="22"/>
        </w:rPr>
        <w:t xml:space="preserve"> </w:t>
      </w:r>
      <w:r w:rsidR="00F157E3">
        <w:rPr>
          <w:b/>
          <w:sz w:val="22"/>
        </w:rPr>
        <w:t xml:space="preserve">for </w:t>
      </w:r>
      <w:r w:rsidRPr="0084494D">
        <w:rPr>
          <w:b/>
          <w:sz w:val="22"/>
        </w:rPr>
        <w:t xml:space="preserve">a) </w:t>
      </w:r>
      <w:r w:rsidR="00F157E3">
        <w:rPr>
          <w:b/>
          <w:sz w:val="22"/>
        </w:rPr>
        <w:t>d</w:t>
      </w:r>
      <w:r w:rsidRPr="0084494D">
        <w:rPr>
          <w:b/>
          <w:sz w:val="22"/>
        </w:rPr>
        <w:t xml:space="preserve">epositional </w:t>
      </w:r>
      <w:proofErr w:type="spellStart"/>
      <w:r w:rsidR="00B7475E" w:rsidRPr="0084494D">
        <w:rPr>
          <w:b/>
          <w:sz w:val="22"/>
        </w:rPr>
        <w:t>morrel</w:t>
      </w:r>
      <w:proofErr w:type="spellEnd"/>
      <w:r w:rsidR="00B7475E" w:rsidRPr="0084494D">
        <w:rPr>
          <w:b/>
          <w:sz w:val="22"/>
        </w:rPr>
        <w:t xml:space="preserve"> </w:t>
      </w:r>
      <w:r w:rsidRPr="0084494D">
        <w:rPr>
          <w:b/>
          <w:sz w:val="22"/>
        </w:rPr>
        <w:t xml:space="preserve">source </w:t>
      </w:r>
      <w:r w:rsidR="006200C3" w:rsidRPr="0084494D">
        <w:rPr>
          <w:b/>
          <w:sz w:val="22"/>
        </w:rPr>
        <w:t>and</w:t>
      </w:r>
      <w:r w:rsidRPr="0084494D">
        <w:rPr>
          <w:b/>
          <w:sz w:val="22"/>
        </w:rPr>
        <w:t xml:space="preserve"> b) </w:t>
      </w:r>
      <w:r w:rsidR="00F157E3">
        <w:rPr>
          <w:b/>
          <w:sz w:val="22"/>
        </w:rPr>
        <w:t>local d</w:t>
      </w:r>
      <w:r w:rsidRPr="0084494D">
        <w:rPr>
          <w:b/>
          <w:sz w:val="22"/>
        </w:rPr>
        <w:t>olerite source</w:t>
      </w:r>
      <w:r w:rsidR="00F54E5F">
        <w:rPr>
          <w:b/>
          <w:sz w:val="22"/>
        </w:rPr>
        <w:t>.</w:t>
      </w:r>
    </w:p>
    <w:tbl>
      <w:tblPr>
        <w:tblStyle w:val="TableGrid"/>
        <w:tblpPr w:leftFromText="180" w:rightFromText="180" w:vertAnchor="text" w:horzAnchor="margin" w:tblpY="29"/>
        <w:tblW w:w="4395" w:type="dxa"/>
        <w:tblLayout w:type="fixed"/>
        <w:tblLook w:val="04A0" w:firstRow="1" w:lastRow="0" w:firstColumn="1" w:lastColumn="0" w:noHBand="0" w:noVBand="1"/>
      </w:tblPr>
      <w:tblGrid>
        <w:gridCol w:w="1843"/>
        <w:gridCol w:w="1276"/>
        <w:gridCol w:w="1276"/>
      </w:tblGrid>
      <w:tr w:rsidR="009030A8" w:rsidRPr="00381BB1" w14:paraId="01CC9475" w14:textId="77777777" w:rsidTr="00011A53">
        <w:trPr>
          <w:cnfStyle w:val="100000000000" w:firstRow="1" w:lastRow="0" w:firstColumn="0" w:lastColumn="0" w:oddVBand="0" w:evenVBand="0" w:oddHBand="0" w:evenHBand="0" w:firstRowFirstColumn="0" w:firstRowLastColumn="0" w:lastRowFirstColumn="0" w:lastRowLastColumn="0"/>
          <w:trHeight w:val="227"/>
        </w:trPr>
        <w:tc>
          <w:tcPr>
            <w:tcW w:w="4395" w:type="dxa"/>
            <w:gridSpan w:val="3"/>
            <w:tcBorders>
              <w:top w:val="nil"/>
              <w:left w:val="nil"/>
              <w:bottom w:val="nil"/>
              <w:right w:val="nil"/>
            </w:tcBorders>
            <w:shd w:val="clear" w:color="auto" w:fill="auto"/>
            <w:noWrap/>
          </w:tcPr>
          <w:p w14:paraId="24378A97" w14:textId="77777777" w:rsidR="009030A8" w:rsidRPr="0084494D" w:rsidRDefault="009030A8" w:rsidP="009030A8">
            <w:pPr>
              <w:spacing w:after="0"/>
              <w:rPr>
                <w:rFonts w:eastAsia="Times New Roman" w:cs="Arial"/>
                <w:color w:val="000000"/>
                <w:sz w:val="18"/>
                <w:lang w:eastAsia="en-AU"/>
              </w:rPr>
            </w:pPr>
            <w:r w:rsidRPr="0084494D">
              <w:rPr>
                <w:rFonts w:eastAsia="Times New Roman" w:cs="Arial"/>
                <w:sz w:val="18"/>
                <w:lang w:eastAsia="en-AU"/>
              </w:rPr>
              <w:t>a)</w:t>
            </w:r>
            <w:r w:rsidR="00334A7C" w:rsidRPr="0084494D">
              <w:rPr>
                <w:rFonts w:eastAsia="Times New Roman" w:cs="Arial"/>
                <w:sz w:val="18"/>
                <w:lang w:eastAsia="en-AU"/>
              </w:rPr>
              <w:t xml:space="preserve"> Local d</w:t>
            </w:r>
            <w:r w:rsidRPr="0084494D">
              <w:rPr>
                <w:rFonts w:eastAsia="Times New Roman" w:cs="Arial"/>
                <w:sz w:val="18"/>
                <w:lang w:eastAsia="en-AU"/>
              </w:rPr>
              <w:t>epositional</w:t>
            </w:r>
            <w:r w:rsidR="00B7475E" w:rsidRPr="0084494D">
              <w:rPr>
                <w:rFonts w:eastAsia="Times New Roman" w:cs="Arial"/>
                <w:sz w:val="18"/>
                <w:lang w:eastAsia="en-AU"/>
              </w:rPr>
              <w:t xml:space="preserve"> </w:t>
            </w:r>
            <w:proofErr w:type="spellStart"/>
            <w:r w:rsidR="00B7475E" w:rsidRPr="0084494D">
              <w:rPr>
                <w:rFonts w:eastAsia="Times New Roman" w:cs="Arial"/>
                <w:sz w:val="18"/>
                <w:lang w:eastAsia="en-AU"/>
              </w:rPr>
              <w:t>morrel</w:t>
            </w:r>
            <w:proofErr w:type="spellEnd"/>
            <w:r w:rsidRPr="0084494D">
              <w:rPr>
                <w:rFonts w:eastAsia="Times New Roman" w:cs="Arial"/>
                <w:sz w:val="18"/>
                <w:lang w:eastAsia="en-AU"/>
              </w:rPr>
              <w:t xml:space="preserve"> source</w:t>
            </w:r>
          </w:p>
        </w:tc>
      </w:tr>
      <w:tr w:rsidR="00011A53" w:rsidRPr="00381BB1" w14:paraId="3501C7BA" w14:textId="77777777" w:rsidTr="00011A53">
        <w:trPr>
          <w:trHeight w:val="227"/>
        </w:trPr>
        <w:tc>
          <w:tcPr>
            <w:tcW w:w="1843" w:type="dxa"/>
            <w:tcBorders>
              <w:top w:val="nil"/>
              <w:right w:val="single" w:sz="4" w:space="0" w:color="FFFFFF" w:themeColor="background1"/>
            </w:tcBorders>
            <w:shd w:val="clear" w:color="auto" w:fill="007D57"/>
            <w:noWrap/>
            <w:hideMark/>
          </w:tcPr>
          <w:p w14:paraId="2067F890" w14:textId="77777777" w:rsidR="00481961" w:rsidRPr="00EE683A" w:rsidRDefault="00481961" w:rsidP="00481961">
            <w:pPr>
              <w:spacing w:after="0"/>
              <w:rPr>
                <w:rFonts w:eastAsia="Times New Roman" w:cs="Arial"/>
                <w:b/>
                <w:sz w:val="18"/>
                <w:lang w:eastAsia="en-AU"/>
              </w:rPr>
            </w:pPr>
            <w:r w:rsidRPr="00EE683A">
              <w:rPr>
                <w:rFonts w:eastAsia="Times New Roman" w:cs="Arial"/>
                <w:b/>
                <w:sz w:val="18"/>
                <w:lang w:eastAsia="en-AU"/>
              </w:rPr>
              <w:t>Sieve Range</w:t>
            </w:r>
            <w:r w:rsidR="00011A53" w:rsidRPr="00EE683A">
              <w:rPr>
                <w:rFonts w:eastAsia="Times New Roman" w:cs="Arial"/>
                <w:b/>
                <w:sz w:val="18"/>
                <w:lang w:eastAsia="en-AU"/>
              </w:rPr>
              <w:t xml:space="preserve"> (mm)</w:t>
            </w:r>
          </w:p>
        </w:tc>
        <w:tc>
          <w:tcPr>
            <w:tcW w:w="1276" w:type="dxa"/>
            <w:tcBorders>
              <w:top w:val="nil"/>
              <w:left w:val="single" w:sz="4" w:space="0" w:color="FFFFFF" w:themeColor="background1"/>
              <w:right w:val="single" w:sz="4" w:space="0" w:color="FFFFFF" w:themeColor="background1"/>
            </w:tcBorders>
            <w:shd w:val="clear" w:color="auto" w:fill="007D57"/>
            <w:noWrap/>
            <w:hideMark/>
          </w:tcPr>
          <w:p w14:paraId="4FB77EA9" w14:textId="77777777" w:rsidR="00481961" w:rsidRPr="00EE683A" w:rsidRDefault="00481961" w:rsidP="009030A8">
            <w:pPr>
              <w:spacing w:after="0"/>
              <w:jc w:val="center"/>
              <w:rPr>
                <w:rFonts w:eastAsia="Times New Roman" w:cs="Arial"/>
                <w:b/>
                <w:sz w:val="18"/>
                <w:lang w:eastAsia="en-AU"/>
              </w:rPr>
            </w:pPr>
            <w:r w:rsidRPr="00EE683A">
              <w:rPr>
                <w:rFonts w:eastAsia="Times New Roman" w:cs="Arial"/>
                <w:b/>
                <w:sz w:val="18"/>
                <w:lang w:eastAsia="en-AU"/>
              </w:rPr>
              <w:t xml:space="preserve">% </w:t>
            </w:r>
            <w:r w:rsidR="009030A8" w:rsidRPr="00EE683A">
              <w:rPr>
                <w:rFonts w:eastAsia="Times New Roman" w:cs="Arial"/>
                <w:b/>
                <w:sz w:val="18"/>
                <w:lang w:eastAsia="en-AU"/>
              </w:rPr>
              <w:t>Weight</w:t>
            </w:r>
          </w:p>
        </w:tc>
        <w:tc>
          <w:tcPr>
            <w:tcW w:w="1276" w:type="dxa"/>
            <w:tcBorders>
              <w:top w:val="nil"/>
              <w:left w:val="single" w:sz="4" w:space="0" w:color="FFFFFF" w:themeColor="background1"/>
            </w:tcBorders>
            <w:shd w:val="clear" w:color="auto" w:fill="007D57"/>
            <w:noWrap/>
            <w:hideMark/>
          </w:tcPr>
          <w:p w14:paraId="4D82FBC6" w14:textId="77777777" w:rsidR="00481961" w:rsidRPr="00EE683A" w:rsidRDefault="00481961" w:rsidP="00481961">
            <w:pPr>
              <w:spacing w:after="0"/>
              <w:jc w:val="center"/>
              <w:rPr>
                <w:rFonts w:eastAsia="Times New Roman" w:cs="Arial"/>
                <w:b/>
                <w:sz w:val="18"/>
                <w:lang w:eastAsia="en-AU"/>
              </w:rPr>
            </w:pPr>
            <w:r w:rsidRPr="00EE683A">
              <w:rPr>
                <w:rFonts w:eastAsia="Times New Roman" w:cs="Arial"/>
                <w:b/>
                <w:sz w:val="18"/>
                <w:lang w:eastAsia="en-AU"/>
              </w:rPr>
              <w:t>NV</w:t>
            </w:r>
          </w:p>
        </w:tc>
      </w:tr>
      <w:tr w:rsidR="009030A8" w:rsidRPr="00381BB1" w14:paraId="1688FEE3" w14:textId="77777777" w:rsidTr="00011A53">
        <w:trPr>
          <w:trHeight w:val="227"/>
        </w:trPr>
        <w:tc>
          <w:tcPr>
            <w:tcW w:w="1843" w:type="dxa"/>
            <w:noWrap/>
          </w:tcPr>
          <w:p w14:paraId="2057FA85" w14:textId="77777777" w:rsidR="009030A8" w:rsidRPr="00663D71" w:rsidRDefault="00011A53" w:rsidP="00481961">
            <w:pPr>
              <w:spacing w:after="0"/>
              <w:rPr>
                <w:rFonts w:eastAsia="Times New Roman" w:cs="Arial"/>
                <w:sz w:val="18"/>
                <w:lang w:eastAsia="en-AU"/>
              </w:rPr>
            </w:pPr>
            <w:r w:rsidRPr="00663D71">
              <w:rPr>
                <w:rFonts w:eastAsia="Times New Roman" w:cs="Arial"/>
                <w:sz w:val="18"/>
                <w:lang w:eastAsia="en-AU"/>
              </w:rPr>
              <w:t>&lt;</w:t>
            </w:r>
            <w:r w:rsidR="009030A8" w:rsidRPr="00663D71">
              <w:rPr>
                <w:rFonts w:eastAsia="Times New Roman" w:cs="Arial"/>
                <w:sz w:val="18"/>
                <w:lang w:eastAsia="en-AU"/>
              </w:rPr>
              <w:t>0.075</w:t>
            </w:r>
          </w:p>
        </w:tc>
        <w:tc>
          <w:tcPr>
            <w:tcW w:w="1276" w:type="dxa"/>
            <w:noWrap/>
          </w:tcPr>
          <w:p w14:paraId="6A3292E3" w14:textId="77777777" w:rsidR="009030A8"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21.4</w:t>
            </w:r>
          </w:p>
        </w:tc>
        <w:tc>
          <w:tcPr>
            <w:tcW w:w="1276" w:type="dxa"/>
            <w:noWrap/>
          </w:tcPr>
          <w:p w14:paraId="3139EEC0" w14:textId="77777777" w:rsidR="009030A8" w:rsidRPr="00663D71" w:rsidRDefault="009030A8" w:rsidP="009030A8">
            <w:pPr>
              <w:spacing w:after="0"/>
              <w:jc w:val="center"/>
              <w:rPr>
                <w:rFonts w:eastAsia="Times New Roman" w:cs="Arial"/>
                <w:sz w:val="18"/>
                <w:lang w:eastAsia="en-AU"/>
              </w:rPr>
            </w:pPr>
            <w:r w:rsidRPr="00663D71">
              <w:rPr>
                <w:rFonts w:eastAsia="Times New Roman" w:cs="Arial"/>
                <w:sz w:val="18"/>
                <w:lang w:eastAsia="en-AU"/>
              </w:rPr>
              <w:t>27.2</w:t>
            </w:r>
          </w:p>
        </w:tc>
      </w:tr>
      <w:tr w:rsidR="00481961" w:rsidRPr="00381BB1" w14:paraId="7BEFC72B" w14:textId="77777777" w:rsidTr="00011A53">
        <w:trPr>
          <w:trHeight w:val="227"/>
        </w:trPr>
        <w:tc>
          <w:tcPr>
            <w:tcW w:w="1843" w:type="dxa"/>
            <w:noWrap/>
            <w:hideMark/>
          </w:tcPr>
          <w:p w14:paraId="20A71AB7" w14:textId="77777777" w:rsidR="00481961" w:rsidRPr="00663D71" w:rsidRDefault="009030A8" w:rsidP="00481961">
            <w:pPr>
              <w:spacing w:after="0"/>
              <w:rPr>
                <w:rFonts w:eastAsia="Times New Roman" w:cs="Arial"/>
                <w:sz w:val="18"/>
                <w:lang w:eastAsia="en-AU"/>
              </w:rPr>
            </w:pPr>
            <w:r w:rsidRPr="00663D71">
              <w:rPr>
                <w:rFonts w:eastAsia="Times New Roman" w:cs="Arial"/>
                <w:sz w:val="18"/>
                <w:lang w:eastAsia="en-AU"/>
              </w:rPr>
              <w:t>0.075-0.150</w:t>
            </w:r>
          </w:p>
        </w:tc>
        <w:tc>
          <w:tcPr>
            <w:tcW w:w="1276" w:type="dxa"/>
            <w:noWrap/>
          </w:tcPr>
          <w:p w14:paraId="45B8A690"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5.8</w:t>
            </w:r>
          </w:p>
        </w:tc>
        <w:tc>
          <w:tcPr>
            <w:tcW w:w="1276" w:type="dxa"/>
            <w:noWrap/>
          </w:tcPr>
          <w:p w14:paraId="57DAB21C"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24.7</w:t>
            </w:r>
          </w:p>
        </w:tc>
      </w:tr>
      <w:tr w:rsidR="00481961" w:rsidRPr="00381BB1" w14:paraId="274A2D8A" w14:textId="77777777" w:rsidTr="00011A53">
        <w:trPr>
          <w:trHeight w:val="227"/>
        </w:trPr>
        <w:tc>
          <w:tcPr>
            <w:tcW w:w="1843" w:type="dxa"/>
            <w:noWrap/>
            <w:hideMark/>
          </w:tcPr>
          <w:p w14:paraId="38B8A526" w14:textId="77777777" w:rsidR="00481961" w:rsidRPr="00663D71" w:rsidRDefault="00481961" w:rsidP="009030A8">
            <w:pPr>
              <w:spacing w:after="0"/>
              <w:rPr>
                <w:rFonts w:eastAsia="Times New Roman" w:cs="Arial"/>
                <w:sz w:val="18"/>
                <w:lang w:eastAsia="en-AU"/>
              </w:rPr>
            </w:pPr>
            <w:r w:rsidRPr="00663D71">
              <w:rPr>
                <w:rFonts w:eastAsia="Times New Roman" w:cs="Arial"/>
                <w:sz w:val="18"/>
                <w:lang w:eastAsia="en-AU"/>
              </w:rPr>
              <w:t>0.1</w:t>
            </w:r>
            <w:r w:rsidR="00011A53" w:rsidRPr="00663D71">
              <w:rPr>
                <w:rFonts w:eastAsia="Times New Roman" w:cs="Arial"/>
                <w:sz w:val="18"/>
                <w:lang w:eastAsia="en-AU"/>
              </w:rPr>
              <w:t>50-0.250</w:t>
            </w:r>
          </w:p>
        </w:tc>
        <w:tc>
          <w:tcPr>
            <w:tcW w:w="1276" w:type="dxa"/>
            <w:noWrap/>
          </w:tcPr>
          <w:p w14:paraId="1EA46545"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7.0</w:t>
            </w:r>
          </w:p>
        </w:tc>
        <w:tc>
          <w:tcPr>
            <w:tcW w:w="1276" w:type="dxa"/>
            <w:noWrap/>
          </w:tcPr>
          <w:p w14:paraId="23CDBFF7"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21.1</w:t>
            </w:r>
          </w:p>
        </w:tc>
      </w:tr>
      <w:tr w:rsidR="00481961" w:rsidRPr="00381BB1" w14:paraId="0B98142C" w14:textId="77777777" w:rsidTr="00011A53">
        <w:trPr>
          <w:trHeight w:val="227"/>
        </w:trPr>
        <w:tc>
          <w:tcPr>
            <w:tcW w:w="1843" w:type="dxa"/>
            <w:noWrap/>
            <w:hideMark/>
          </w:tcPr>
          <w:p w14:paraId="63C1D38F" w14:textId="77777777" w:rsidR="00481961" w:rsidRPr="00663D71" w:rsidRDefault="00011A53" w:rsidP="00481961">
            <w:pPr>
              <w:spacing w:after="0"/>
              <w:rPr>
                <w:rFonts w:eastAsia="Times New Roman" w:cs="Arial"/>
                <w:sz w:val="18"/>
                <w:lang w:eastAsia="en-AU"/>
              </w:rPr>
            </w:pPr>
            <w:r w:rsidRPr="00663D71">
              <w:rPr>
                <w:rFonts w:eastAsia="Times New Roman" w:cs="Arial"/>
                <w:sz w:val="18"/>
                <w:lang w:eastAsia="en-AU"/>
              </w:rPr>
              <w:t>0.250-0.500</w:t>
            </w:r>
          </w:p>
        </w:tc>
        <w:tc>
          <w:tcPr>
            <w:tcW w:w="1276" w:type="dxa"/>
            <w:noWrap/>
          </w:tcPr>
          <w:p w14:paraId="1DDDF948"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9.2</w:t>
            </w:r>
          </w:p>
        </w:tc>
        <w:tc>
          <w:tcPr>
            <w:tcW w:w="1276" w:type="dxa"/>
            <w:noWrap/>
          </w:tcPr>
          <w:p w14:paraId="67B0FAF2"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15.7</w:t>
            </w:r>
          </w:p>
        </w:tc>
      </w:tr>
      <w:tr w:rsidR="00481961" w:rsidRPr="00381BB1" w14:paraId="3ECE8F99" w14:textId="77777777" w:rsidTr="00011A53">
        <w:trPr>
          <w:trHeight w:val="227"/>
        </w:trPr>
        <w:tc>
          <w:tcPr>
            <w:tcW w:w="1843" w:type="dxa"/>
            <w:noWrap/>
            <w:hideMark/>
          </w:tcPr>
          <w:p w14:paraId="644A91EE" w14:textId="77777777" w:rsidR="00481961" w:rsidRPr="00663D71" w:rsidRDefault="00011A53" w:rsidP="00481961">
            <w:pPr>
              <w:spacing w:after="0"/>
              <w:rPr>
                <w:rFonts w:eastAsia="Times New Roman" w:cs="Arial"/>
                <w:sz w:val="18"/>
                <w:lang w:eastAsia="en-AU"/>
              </w:rPr>
            </w:pPr>
            <w:r w:rsidRPr="00663D71">
              <w:rPr>
                <w:rFonts w:eastAsia="Times New Roman" w:cs="Arial"/>
                <w:sz w:val="18"/>
                <w:lang w:eastAsia="en-AU"/>
              </w:rPr>
              <w:t>0.500</w:t>
            </w:r>
            <w:r w:rsidR="00481961" w:rsidRPr="00663D71">
              <w:rPr>
                <w:rFonts w:eastAsia="Times New Roman" w:cs="Arial"/>
                <w:sz w:val="18"/>
                <w:lang w:eastAsia="en-AU"/>
              </w:rPr>
              <w:t>-1</w:t>
            </w:r>
            <w:r w:rsidRPr="00663D71">
              <w:rPr>
                <w:rFonts w:eastAsia="Times New Roman" w:cs="Arial"/>
                <w:sz w:val="18"/>
                <w:lang w:eastAsia="en-AU"/>
              </w:rPr>
              <w:t>.00</w:t>
            </w:r>
          </w:p>
        </w:tc>
        <w:tc>
          <w:tcPr>
            <w:tcW w:w="1276" w:type="dxa"/>
            <w:noWrap/>
          </w:tcPr>
          <w:p w14:paraId="1BCD4F46"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4.6</w:t>
            </w:r>
          </w:p>
        </w:tc>
        <w:tc>
          <w:tcPr>
            <w:tcW w:w="1276" w:type="dxa"/>
            <w:noWrap/>
          </w:tcPr>
          <w:p w14:paraId="2E66F4EA"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14.9</w:t>
            </w:r>
          </w:p>
        </w:tc>
      </w:tr>
      <w:tr w:rsidR="00481961" w:rsidRPr="00381BB1" w14:paraId="6458A68C" w14:textId="77777777" w:rsidTr="00011A53">
        <w:trPr>
          <w:trHeight w:val="227"/>
        </w:trPr>
        <w:tc>
          <w:tcPr>
            <w:tcW w:w="1843" w:type="dxa"/>
            <w:noWrap/>
            <w:hideMark/>
          </w:tcPr>
          <w:p w14:paraId="1567AB37" w14:textId="77777777" w:rsidR="00481961" w:rsidRPr="00663D71" w:rsidRDefault="009030A8" w:rsidP="00481961">
            <w:pPr>
              <w:spacing w:after="0"/>
              <w:rPr>
                <w:rFonts w:eastAsia="Times New Roman" w:cs="Arial"/>
                <w:sz w:val="18"/>
                <w:lang w:eastAsia="en-AU"/>
              </w:rPr>
            </w:pPr>
            <w:r w:rsidRPr="00663D71">
              <w:rPr>
                <w:rFonts w:eastAsia="Times New Roman" w:cs="Arial"/>
                <w:sz w:val="18"/>
                <w:lang w:eastAsia="en-AU"/>
              </w:rPr>
              <w:t>1</w:t>
            </w:r>
            <w:r w:rsidR="00011A53" w:rsidRPr="00663D71">
              <w:rPr>
                <w:rFonts w:eastAsia="Times New Roman" w:cs="Arial"/>
                <w:sz w:val="18"/>
                <w:lang w:eastAsia="en-AU"/>
              </w:rPr>
              <w:t>.00</w:t>
            </w:r>
            <w:r w:rsidRPr="00663D71">
              <w:rPr>
                <w:rFonts w:eastAsia="Times New Roman" w:cs="Arial"/>
                <w:sz w:val="18"/>
                <w:lang w:eastAsia="en-AU"/>
              </w:rPr>
              <w:t>-2</w:t>
            </w:r>
            <w:r w:rsidR="00011A53" w:rsidRPr="00663D71">
              <w:rPr>
                <w:rFonts w:eastAsia="Times New Roman" w:cs="Arial"/>
                <w:sz w:val="18"/>
                <w:lang w:eastAsia="en-AU"/>
              </w:rPr>
              <w:t>.00</w:t>
            </w:r>
          </w:p>
        </w:tc>
        <w:tc>
          <w:tcPr>
            <w:tcW w:w="1276" w:type="dxa"/>
            <w:noWrap/>
          </w:tcPr>
          <w:p w14:paraId="45200D29"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3.9</w:t>
            </w:r>
          </w:p>
        </w:tc>
        <w:tc>
          <w:tcPr>
            <w:tcW w:w="1276" w:type="dxa"/>
            <w:noWrap/>
          </w:tcPr>
          <w:p w14:paraId="79A5AFDD" w14:textId="77777777" w:rsidR="00481961" w:rsidRPr="00663D71" w:rsidRDefault="009030A8" w:rsidP="00481961">
            <w:pPr>
              <w:spacing w:after="0"/>
              <w:jc w:val="center"/>
              <w:rPr>
                <w:rFonts w:eastAsia="Times New Roman" w:cs="Arial"/>
                <w:sz w:val="18"/>
                <w:lang w:eastAsia="en-AU"/>
              </w:rPr>
            </w:pPr>
            <w:r w:rsidRPr="00663D71">
              <w:rPr>
                <w:rFonts w:eastAsia="Times New Roman" w:cs="Arial"/>
                <w:sz w:val="18"/>
                <w:lang w:eastAsia="en-AU"/>
              </w:rPr>
              <w:t>4.6</w:t>
            </w:r>
          </w:p>
        </w:tc>
      </w:tr>
      <w:tr w:rsidR="009030A8" w:rsidRPr="00381BB1" w14:paraId="1DD7FD15" w14:textId="77777777" w:rsidTr="00011A53">
        <w:trPr>
          <w:trHeight w:val="227"/>
        </w:trPr>
        <w:tc>
          <w:tcPr>
            <w:tcW w:w="1843" w:type="dxa"/>
            <w:noWrap/>
          </w:tcPr>
          <w:p w14:paraId="37FA2D0A" w14:textId="77777777" w:rsidR="009030A8" w:rsidRPr="00663D71" w:rsidRDefault="009030A8" w:rsidP="009030A8">
            <w:pPr>
              <w:spacing w:after="0"/>
              <w:rPr>
                <w:rFonts w:eastAsia="Times New Roman" w:cs="Arial"/>
                <w:sz w:val="18"/>
                <w:lang w:eastAsia="en-AU"/>
              </w:rPr>
            </w:pPr>
            <w:r w:rsidRPr="00663D71">
              <w:rPr>
                <w:rFonts w:eastAsia="Times New Roman" w:cs="Arial"/>
                <w:sz w:val="18"/>
                <w:lang w:eastAsia="en-AU"/>
              </w:rPr>
              <w:t>&gt;2</w:t>
            </w:r>
            <w:r w:rsidR="00011A53" w:rsidRPr="00663D71">
              <w:rPr>
                <w:rFonts w:eastAsia="Times New Roman" w:cs="Arial"/>
                <w:sz w:val="18"/>
                <w:lang w:eastAsia="en-AU"/>
              </w:rPr>
              <w:t>.00</w:t>
            </w:r>
          </w:p>
        </w:tc>
        <w:tc>
          <w:tcPr>
            <w:tcW w:w="1276" w:type="dxa"/>
            <w:noWrap/>
          </w:tcPr>
          <w:p w14:paraId="139EACDB" w14:textId="77777777" w:rsidR="009030A8" w:rsidRPr="00663D71" w:rsidRDefault="009030A8" w:rsidP="009030A8">
            <w:pPr>
              <w:spacing w:after="0"/>
              <w:jc w:val="center"/>
              <w:rPr>
                <w:rFonts w:eastAsia="Times New Roman" w:cs="Arial"/>
                <w:sz w:val="18"/>
                <w:lang w:eastAsia="en-AU"/>
              </w:rPr>
            </w:pPr>
            <w:r w:rsidRPr="00663D71">
              <w:rPr>
                <w:rFonts w:eastAsia="Times New Roman" w:cs="Arial"/>
                <w:sz w:val="18"/>
                <w:lang w:eastAsia="en-AU"/>
              </w:rPr>
              <w:t>47.0</w:t>
            </w:r>
          </w:p>
        </w:tc>
        <w:tc>
          <w:tcPr>
            <w:tcW w:w="1276" w:type="dxa"/>
            <w:noWrap/>
          </w:tcPr>
          <w:p w14:paraId="495A0754" w14:textId="77777777" w:rsidR="009030A8" w:rsidRPr="00663D71" w:rsidRDefault="009030A8" w:rsidP="009030A8">
            <w:pPr>
              <w:spacing w:after="0"/>
              <w:jc w:val="center"/>
              <w:rPr>
                <w:rFonts w:eastAsia="Times New Roman" w:cs="Arial"/>
                <w:sz w:val="18"/>
                <w:lang w:eastAsia="en-AU"/>
              </w:rPr>
            </w:pPr>
            <w:r w:rsidRPr="00663D71">
              <w:rPr>
                <w:rFonts w:eastAsia="Times New Roman" w:cs="Arial"/>
                <w:sz w:val="18"/>
                <w:lang w:eastAsia="en-AU"/>
              </w:rPr>
              <w:t>75.5</w:t>
            </w:r>
          </w:p>
        </w:tc>
      </w:tr>
    </w:tbl>
    <w:tbl>
      <w:tblPr>
        <w:tblStyle w:val="TableGrid"/>
        <w:tblpPr w:leftFromText="180" w:rightFromText="180" w:vertAnchor="text" w:horzAnchor="margin" w:tblpXSpec="right" w:tblpY="29"/>
        <w:tblW w:w="4395" w:type="dxa"/>
        <w:tblLook w:val="04A0" w:firstRow="1" w:lastRow="0" w:firstColumn="1" w:lastColumn="0" w:noHBand="0" w:noVBand="1"/>
      </w:tblPr>
      <w:tblGrid>
        <w:gridCol w:w="1843"/>
        <w:gridCol w:w="1276"/>
        <w:gridCol w:w="1276"/>
      </w:tblGrid>
      <w:tr w:rsidR="009030A8" w:rsidRPr="00381BB1" w14:paraId="713399CE" w14:textId="77777777" w:rsidTr="00011A53">
        <w:trPr>
          <w:cnfStyle w:val="100000000000" w:firstRow="1" w:lastRow="0" w:firstColumn="0" w:lastColumn="0" w:oddVBand="0" w:evenVBand="0" w:oddHBand="0" w:evenHBand="0" w:firstRowFirstColumn="0" w:firstRowLastColumn="0" w:lastRowFirstColumn="0" w:lastRowLastColumn="0"/>
          <w:trHeight w:val="227"/>
        </w:trPr>
        <w:tc>
          <w:tcPr>
            <w:tcW w:w="4395" w:type="dxa"/>
            <w:gridSpan w:val="3"/>
            <w:tcBorders>
              <w:top w:val="nil"/>
              <w:left w:val="nil"/>
              <w:bottom w:val="nil"/>
              <w:right w:val="nil"/>
            </w:tcBorders>
            <w:shd w:val="clear" w:color="auto" w:fill="auto"/>
            <w:noWrap/>
          </w:tcPr>
          <w:p w14:paraId="0214C0C3" w14:textId="77777777" w:rsidR="009030A8" w:rsidRPr="0084494D" w:rsidRDefault="009030A8" w:rsidP="00334A7C">
            <w:pPr>
              <w:spacing w:after="0"/>
              <w:rPr>
                <w:rFonts w:eastAsia="Times New Roman" w:cs="Arial"/>
                <w:sz w:val="18"/>
                <w:lang w:eastAsia="en-AU"/>
              </w:rPr>
            </w:pPr>
            <w:r w:rsidRPr="0084494D">
              <w:rPr>
                <w:rFonts w:eastAsia="Times New Roman" w:cs="Arial"/>
                <w:sz w:val="18"/>
                <w:lang w:eastAsia="en-AU"/>
              </w:rPr>
              <w:t xml:space="preserve">b) </w:t>
            </w:r>
            <w:r w:rsidR="00334A7C" w:rsidRPr="0084494D">
              <w:rPr>
                <w:rFonts w:eastAsia="Times New Roman" w:cs="Arial"/>
                <w:sz w:val="18"/>
                <w:lang w:eastAsia="en-AU"/>
              </w:rPr>
              <w:t>Local d</w:t>
            </w:r>
            <w:r w:rsidRPr="0084494D">
              <w:rPr>
                <w:rFonts w:eastAsia="Times New Roman" w:cs="Arial"/>
                <w:sz w:val="18"/>
                <w:lang w:eastAsia="en-AU"/>
              </w:rPr>
              <w:t>olerite source</w:t>
            </w:r>
          </w:p>
        </w:tc>
      </w:tr>
      <w:tr w:rsidR="00481961" w:rsidRPr="00381BB1" w14:paraId="79B9C41D" w14:textId="77777777" w:rsidTr="00011A53">
        <w:trPr>
          <w:trHeight w:val="227"/>
        </w:trPr>
        <w:tc>
          <w:tcPr>
            <w:tcW w:w="1843" w:type="dxa"/>
            <w:tcBorders>
              <w:right w:val="single" w:sz="4" w:space="0" w:color="FFFFFF" w:themeColor="background1"/>
            </w:tcBorders>
            <w:shd w:val="clear" w:color="auto" w:fill="007D57"/>
            <w:noWrap/>
            <w:hideMark/>
          </w:tcPr>
          <w:p w14:paraId="63A0710B" w14:textId="77777777" w:rsidR="00481961" w:rsidRPr="00EE683A" w:rsidRDefault="00481961" w:rsidP="00011A53">
            <w:pPr>
              <w:spacing w:after="0"/>
              <w:rPr>
                <w:rFonts w:eastAsia="Times New Roman" w:cs="Arial"/>
                <w:b/>
                <w:sz w:val="18"/>
                <w:lang w:eastAsia="en-AU"/>
              </w:rPr>
            </w:pPr>
            <w:r w:rsidRPr="00EE683A">
              <w:rPr>
                <w:rFonts w:eastAsia="Times New Roman" w:cs="Arial"/>
                <w:b/>
                <w:sz w:val="18"/>
                <w:lang w:eastAsia="en-AU"/>
              </w:rPr>
              <w:t>Sieve Range</w:t>
            </w:r>
            <w:r w:rsidR="00011A53" w:rsidRPr="00EE683A">
              <w:rPr>
                <w:rFonts w:eastAsia="Times New Roman" w:cs="Arial"/>
                <w:b/>
                <w:sz w:val="18"/>
                <w:lang w:eastAsia="en-AU"/>
              </w:rPr>
              <w:t xml:space="preserve"> (mm)</w:t>
            </w:r>
          </w:p>
        </w:tc>
        <w:tc>
          <w:tcPr>
            <w:tcW w:w="1276" w:type="dxa"/>
            <w:tcBorders>
              <w:left w:val="single" w:sz="4" w:space="0" w:color="FFFFFF" w:themeColor="background1"/>
              <w:right w:val="single" w:sz="4" w:space="0" w:color="FFFFFF" w:themeColor="background1"/>
            </w:tcBorders>
            <w:shd w:val="clear" w:color="auto" w:fill="007D57"/>
            <w:noWrap/>
            <w:hideMark/>
          </w:tcPr>
          <w:p w14:paraId="1D1D917C" w14:textId="77777777" w:rsidR="00481961" w:rsidRPr="00EE683A" w:rsidRDefault="00481961" w:rsidP="00011A53">
            <w:pPr>
              <w:spacing w:after="0"/>
              <w:jc w:val="center"/>
              <w:rPr>
                <w:rFonts w:eastAsia="Times New Roman" w:cs="Arial"/>
                <w:b/>
                <w:sz w:val="18"/>
                <w:lang w:eastAsia="en-AU"/>
              </w:rPr>
            </w:pPr>
            <w:r w:rsidRPr="00EE683A">
              <w:rPr>
                <w:rFonts w:eastAsia="Times New Roman" w:cs="Arial"/>
                <w:b/>
                <w:sz w:val="18"/>
                <w:lang w:eastAsia="en-AU"/>
              </w:rPr>
              <w:t xml:space="preserve">% </w:t>
            </w:r>
            <w:r w:rsidR="009030A8" w:rsidRPr="00EE683A">
              <w:rPr>
                <w:rFonts w:eastAsia="Times New Roman" w:cs="Arial"/>
                <w:b/>
                <w:sz w:val="18"/>
                <w:lang w:eastAsia="en-AU"/>
              </w:rPr>
              <w:t>Weight</w:t>
            </w:r>
          </w:p>
        </w:tc>
        <w:tc>
          <w:tcPr>
            <w:tcW w:w="1276" w:type="dxa"/>
            <w:tcBorders>
              <w:left w:val="single" w:sz="4" w:space="0" w:color="FFFFFF" w:themeColor="background1"/>
            </w:tcBorders>
            <w:shd w:val="clear" w:color="auto" w:fill="007D57"/>
            <w:noWrap/>
            <w:hideMark/>
          </w:tcPr>
          <w:p w14:paraId="1262F766" w14:textId="77777777" w:rsidR="00481961" w:rsidRPr="00EE683A" w:rsidRDefault="00481961" w:rsidP="00011A53">
            <w:pPr>
              <w:spacing w:after="0"/>
              <w:jc w:val="center"/>
              <w:rPr>
                <w:rFonts w:eastAsia="Times New Roman" w:cs="Arial"/>
                <w:b/>
                <w:sz w:val="18"/>
                <w:lang w:eastAsia="en-AU"/>
              </w:rPr>
            </w:pPr>
            <w:r w:rsidRPr="00EE683A">
              <w:rPr>
                <w:rFonts w:eastAsia="Times New Roman" w:cs="Arial"/>
                <w:b/>
                <w:sz w:val="18"/>
                <w:lang w:eastAsia="en-AU"/>
              </w:rPr>
              <w:t>NV</w:t>
            </w:r>
          </w:p>
        </w:tc>
      </w:tr>
      <w:tr w:rsidR="00011A53" w:rsidRPr="00381BB1" w14:paraId="64E506A6" w14:textId="77777777" w:rsidTr="00011A53">
        <w:trPr>
          <w:trHeight w:val="227"/>
        </w:trPr>
        <w:tc>
          <w:tcPr>
            <w:tcW w:w="1843" w:type="dxa"/>
            <w:noWrap/>
          </w:tcPr>
          <w:p w14:paraId="66A59859"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&lt;0.075</w:t>
            </w:r>
          </w:p>
        </w:tc>
        <w:tc>
          <w:tcPr>
            <w:tcW w:w="1276" w:type="dxa"/>
            <w:noWrap/>
          </w:tcPr>
          <w:p w14:paraId="79D28C6F"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50.4</w:t>
            </w:r>
          </w:p>
        </w:tc>
        <w:tc>
          <w:tcPr>
            <w:tcW w:w="1276" w:type="dxa"/>
            <w:noWrap/>
          </w:tcPr>
          <w:p w14:paraId="1D627311"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35.5</w:t>
            </w:r>
          </w:p>
        </w:tc>
      </w:tr>
      <w:tr w:rsidR="00011A53" w:rsidRPr="00381BB1" w14:paraId="755BEE09" w14:textId="77777777" w:rsidTr="00011A53">
        <w:trPr>
          <w:trHeight w:val="227"/>
        </w:trPr>
        <w:tc>
          <w:tcPr>
            <w:tcW w:w="1843" w:type="dxa"/>
            <w:noWrap/>
            <w:hideMark/>
          </w:tcPr>
          <w:p w14:paraId="413D0657"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0.075-0.150</w:t>
            </w:r>
          </w:p>
        </w:tc>
        <w:tc>
          <w:tcPr>
            <w:tcW w:w="1276" w:type="dxa"/>
            <w:noWrap/>
          </w:tcPr>
          <w:p w14:paraId="5D2910FE"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11.5</w:t>
            </w:r>
          </w:p>
        </w:tc>
        <w:tc>
          <w:tcPr>
            <w:tcW w:w="1276" w:type="dxa"/>
            <w:noWrap/>
          </w:tcPr>
          <w:p w14:paraId="0B7DD4DE"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8.2</w:t>
            </w:r>
          </w:p>
        </w:tc>
      </w:tr>
      <w:tr w:rsidR="00011A53" w:rsidRPr="00381BB1" w14:paraId="054CAF3D" w14:textId="77777777" w:rsidTr="00011A53">
        <w:trPr>
          <w:trHeight w:val="227"/>
        </w:trPr>
        <w:tc>
          <w:tcPr>
            <w:tcW w:w="1843" w:type="dxa"/>
            <w:noWrap/>
            <w:hideMark/>
          </w:tcPr>
          <w:p w14:paraId="62C7C19C"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0.150-0.250</w:t>
            </w:r>
          </w:p>
        </w:tc>
        <w:tc>
          <w:tcPr>
            <w:tcW w:w="1276" w:type="dxa"/>
            <w:noWrap/>
          </w:tcPr>
          <w:p w14:paraId="245B5EB5"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9.5</w:t>
            </w:r>
          </w:p>
        </w:tc>
        <w:tc>
          <w:tcPr>
            <w:tcW w:w="1276" w:type="dxa"/>
            <w:noWrap/>
          </w:tcPr>
          <w:p w14:paraId="604D01D8"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8.4</w:t>
            </w:r>
          </w:p>
        </w:tc>
      </w:tr>
      <w:tr w:rsidR="00011A53" w:rsidRPr="00381BB1" w14:paraId="72B012DD" w14:textId="77777777" w:rsidTr="00011A53">
        <w:trPr>
          <w:trHeight w:val="227"/>
        </w:trPr>
        <w:tc>
          <w:tcPr>
            <w:tcW w:w="1843" w:type="dxa"/>
            <w:noWrap/>
            <w:hideMark/>
          </w:tcPr>
          <w:p w14:paraId="69EB5C9F"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0.250-0.500</w:t>
            </w:r>
          </w:p>
        </w:tc>
        <w:tc>
          <w:tcPr>
            <w:tcW w:w="1276" w:type="dxa"/>
            <w:noWrap/>
          </w:tcPr>
          <w:p w14:paraId="054D3913"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8.2</w:t>
            </w:r>
          </w:p>
        </w:tc>
        <w:tc>
          <w:tcPr>
            <w:tcW w:w="1276" w:type="dxa"/>
            <w:noWrap/>
          </w:tcPr>
          <w:p w14:paraId="7E93444C"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7.5</w:t>
            </w:r>
          </w:p>
        </w:tc>
      </w:tr>
      <w:tr w:rsidR="00011A53" w:rsidRPr="00381BB1" w14:paraId="39C7A340" w14:textId="77777777" w:rsidTr="00011A53">
        <w:trPr>
          <w:trHeight w:val="227"/>
        </w:trPr>
        <w:tc>
          <w:tcPr>
            <w:tcW w:w="1843" w:type="dxa"/>
            <w:noWrap/>
            <w:hideMark/>
          </w:tcPr>
          <w:p w14:paraId="67D0A0D8"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0.500-1.00</w:t>
            </w:r>
          </w:p>
        </w:tc>
        <w:tc>
          <w:tcPr>
            <w:tcW w:w="1276" w:type="dxa"/>
            <w:noWrap/>
          </w:tcPr>
          <w:p w14:paraId="49B76259"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7.1</w:t>
            </w:r>
          </w:p>
        </w:tc>
        <w:tc>
          <w:tcPr>
            <w:tcW w:w="1276" w:type="dxa"/>
            <w:noWrap/>
          </w:tcPr>
          <w:p w14:paraId="1B44CF0B"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6.1</w:t>
            </w:r>
          </w:p>
        </w:tc>
      </w:tr>
      <w:tr w:rsidR="00011A53" w:rsidRPr="00381BB1" w14:paraId="18626CA9" w14:textId="77777777" w:rsidTr="00011A53">
        <w:trPr>
          <w:trHeight w:val="227"/>
        </w:trPr>
        <w:tc>
          <w:tcPr>
            <w:tcW w:w="1843" w:type="dxa"/>
            <w:noWrap/>
            <w:hideMark/>
          </w:tcPr>
          <w:p w14:paraId="3ACEA850"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1.00-2.00</w:t>
            </w:r>
          </w:p>
        </w:tc>
        <w:tc>
          <w:tcPr>
            <w:tcW w:w="1276" w:type="dxa"/>
            <w:noWrap/>
          </w:tcPr>
          <w:p w14:paraId="251BEBA4"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4.8</w:t>
            </w:r>
          </w:p>
        </w:tc>
        <w:tc>
          <w:tcPr>
            <w:tcW w:w="1276" w:type="dxa"/>
            <w:noWrap/>
          </w:tcPr>
          <w:p w14:paraId="3B2BBF9B"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10.0</w:t>
            </w:r>
          </w:p>
        </w:tc>
      </w:tr>
      <w:tr w:rsidR="00011A53" w:rsidRPr="00381BB1" w14:paraId="0E721711" w14:textId="77777777" w:rsidTr="00011A53">
        <w:trPr>
          <w:trHeight w:val="227"/>
        </w:trPr>
        <w:tc>
          <w:tcPr>
            <w:tcW w:w="1843" w:type="dxa"/>
            <w:noWrap/>
          </w:tcPr>
          <w:p w14:paraId="12EF5096" w14:textId="77777777" w:rsidR="00011A53" w:rsidRPr="00663D71" w:rsidRDefault="00011A53" w:rsidP="00011A53">
            <w:pPr>
              <w:spacing w:after="0"/>
              <w:rPr>
                <w:rFonts w:eastAsia="Times New Roman" w:cs="Arial"/>
                <w:sz w:val="18"/>
                <w:lang w:eastAsia="en-AU"/>
              </w:rPr>
            </w:pPr>
            <w:r w:rsidRPr="00663D71">
              <w:rPr>
                <w:rFonts w:eastAsia="Times New Roman" w:cs="Arial"/>
                <w:sz w:val="18"/>
                <w:lang w:eastAsia="en-AU"/>
              </w:rPr>
              <w:t>&gt;2.00</w:t>
            </w:r>
          </w:p>
        </w:tc>
        <w:tc>
          <w:tcPr>
            <w:tcW w:w="1276" w:type="dxa"/>
            <w:noWrap/>
          </w:tcPr>
          <w:p w14:paraId="01F33F05"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6.6</w:t>
            </w:r>
          </w:p>
        </w:tc>
        <w:tc>
          <w:tcPr>
            <w:tcW w:w="1276" w:type="dxa"/>
            <w:noWrap/>
          </w:tcPr>
          <w:p w14:paraId="6BC562F4" w14:textId="77777777" w:rsidR="00011A53" w:rsidRPr="00663D71" w:rsidRDefault="00011A53" w:rsidP="00011A53">
            <w:pPr>
              <w:spacing w:after="0"/>
              <w:jc w:val="center"/>
              <w:rPr>
                <w:rFonts w:eastAsia="Times New Roman" w:cs="Arial"/>
                <w:sz w:val="18"/>
                <w:lang w:eastAsia="en-AU"/>
              </w:rPr>
            </w:pPr>
            <w:r w:rsidRPr="00663D71">
              <w:rPr>
                <w:rFonts w:eastAsia="Times New Roman" w:cs="Arial"/>
                <w:sz w:val="18"/>
                <w:lang w:eastAsia="en-AU"/>
              </w:rPr>
              <w:t>36.6</w:t>
            </w:r>
          </w:p>
        </w:tc>
      </w:tr>
    </w:tbl>
    <w:p w14:paraId="49EBAB49" w14:textId="77777777" w:rsidR="00F222DA" w:rsidRPr="0084494D" w:rsidRDefault="00ED2335" w:rsidP="00E75BA5">
      <w:pPr>
        <w:spacing w:before="240" w:after="0"/>
        <w:rPr>
          <w:b/>
          <w:sz w:val="22"/>
        </w:rPr>
      </w:pPr>
      <w:r w:rsidRPr="0084494D">
        <w:rPr>
          <w:b/>
          <w:sz w:val="22"/>
        </w:rPr>
        <w:t xml:space="preserve">Table </w:t>
      </w:r>
      <w:r w:rsidR="00481961" w:rsidRPr="0084494D">
        <w:rPr>
          <w:b/>
          <w:sz w:val="22"/>
        </w:rPr>
        <w:t>4</w:t>
      </w:r>
      <w:r w:rsidR="00F157E3">
        <w:rPr>
          <w:b/>
          <w:sz w:val="22"/>
        </w:rPr>
        <w:t>.</w:t>
      </w:r>
      <w:r w:rsidRPr="0084494D">
        <w:rPr>
          <w:b/>
          <w:sz w:val="22"/>
        </w:rPr>
        <w:t xml:space="preserve"> </w:t>
      </w:r>
      <w:r w:rsidR="00F54E5F">
        <w:rPr>
          <w:b/>
          <w:sz w:val="22"/>
        </w:rPr>
        <w:t>R</w:t>
      </w:r>
      <w:r w:rsidR="00F54E5F" w:rsidRPr="003139B4">
        <w:rPr>
          <w:b/>
          <w:sz w:val="22"/>
        </w:rPr>
        <w:t xml:space="preserve">ates applied </w:t>
      </w:r>
      <w:r w:rsidR="00F54E5F">
        <w:rPr>
          <w:b/>
          <w:sz w:val="22"/>
        </w:rPr>
        <w:t>per treatment</w:t>
      </w:r>
      <w:r w:rsidR="00F54E5F" w:rsidRPr="003139B4">
        <w:rPr>
          <w:b/>
          <w:sz w:val="22"/>
        </w:rPr>
        <w:t xml:space="preserve"> </w:t>
      </w:r>
      <w:r w:rsidR="00F54E5F">
        <w:rPr>
          <w:b/>
          <w:sz w:val="22"/>
        </w:rPr>
        <w:t xml:space="preserve">for </w:t>
      </w:r>
      <w:r w:rsidR="00F54E5F" w:rsidRPr="003139B4">
        <w:rPr>
          <w:b/>
          <w:sz w:val="22"/>
        </w:rPr>
        <w:t xml:space="preserve">each </w:t>
      </w:r>
      <w:r w:rsidR="00F54E5F">
        <w:rPr>
          <w:b/>
          <w:sz w:val="22"/>
        </w:rPr>
        <w:t xml:space="preserve">lime </w:t>
      </w:r>
      <w:r w:rsidR="00F54E5F" w:rsidRPr="003139B4">
        <w:rPr>
          <w:b/>
          <w:sz w:val="22"/>
        </w:rPr>
        <w:t>sourc</w:t>
      </w:r>
      <w:r w:rsidR="00F54E5F">
        <w:rPr>
          <w:b/>
          <w:sz w:val="22"/>
        </w:rPr>
        <w:t>e.</w:t>
      </w:r>
      <w:r w:rsidR="003D5A49" w:rsidRPr="0084494D">
        <w:rPr>
          <w:b/>
          <w:sz w:val="22"/>
        </w:rPr>
        <w:t xml:space="preserve"> </w:t>
      </w:r>
    </w:p>
    <w:tbl>
      <w:tblPr>
        <w:tblStyle w:val="TableGrid"/>
        <w:tblW w:w="5948" w:type="dxa"/>
        <w:tblLayout w:type="fixed"/>
        <w:tblLook w:val="04A0" w:firstRow="1" w:lastRow="0" w:firstColumn="1" w:lastColumn="0" w:noHBand="0" w:noVBand="1"/>
      </w:tblPr>
      <w:tblGrid>
        <w:gridCol w:w="2461"/>
        <w:gridCol w:w="1162"/>
        <w:gridCol w:w="1162"/>
        <w:gridCol w:w="1163"/>
      </w:tblGrid>
      <w:tr w:rsidR="006511F0" w:rsidRPr="00E64D5A" w14:paraId="54C465D3" w14:textId="77777777" w:rsidTr="006511F0">
        <w:trPr>
          <w:cnfStyle w:val="100000000000" w:firstRow="1" w:lastRow="0" w:firstColumn="0" w:lastColumn="0" w:oddVBand="0" w:evenVBand="0" w:oddHBand="0" w:evenHBand="0" w:firstRowFirstColumn="0" w:firstRowLastColumn="0" w:lastRowFirstColumn="0" w:lastRowLastColumn="0"/>
          <w:trHeight w:val="24"/>
        </w:trPr>
        <w:tc>
          <w:tcPr>
            <w:tcW w:w="2461" w:type="dxa"/>
            <w:vMerge w:val="restart"/>
            <w:tcBorders>
              <w:top w:val="single" w:sz="4" w:space="0" w:color="538135" w:themeColor="accent6" w:themeShade="BF"/>
              <w:left w:val="single" w:sz="4" w:space="0" w:color="538135" w:themeColor="accent6" w:themeShade="BF"/>
              <w:bottom w:val="single" w:sz="4" w:space="0" w:color="FFFFFF" w:themeColor="background1"/>
              <w:right w:val="single" w:sz="4" w:space="0" w:color="FFFFFF" w:themeColor="background1"/>
            </w:tcBorders>
            <w:noWrap/>
            <w:hideMark/>
          </w:tcPr>
          <w:p w14:paraId="7116EDA0" w14:textId="77777777" w:rsidR="006511F0" w:rsidRPr="00EE683A" w:rsidRDefault="006511F0" w:rsidP="00011A53">
            <w:pPr>
              <w:keepNext/>
              <w:spacing w:after="0"/>
              <w:rPr>
                <w:sz w:val="18"/>
              </w:rPr>
            </w:pPr>
            <w:r w:rsidRPr="00EE683A">
              <w:rPr>
                <w:sz w:val="18"/>
              </w:rPr>
              <w:t>Lime Source</w:t>
            </w:r>
          </w:p>
        </w:tc>
        <w:tc>
          <w:tcPr>
            <w:tcW w:w="3487" w:type="dxa"/>
            <w:gridSpan w:val="3"/>
            <w:tcBorders>
              <w:top w:val="single" w:sz="4" w:space="0" w:color="538135" w:themeColor="accent6" w:themeShade="BF"/>
              <w:left w:val="single" w:sz="4" w:space="0" w:color="FFFFFF" w:themeColor="background1"/>
              <w:bottom w:val="single" w:sz="4" w:space="0" w:color="FFFFFF" w:themeColor="background1"/>
              <w:right w:val="single" w:sz="4" w:space="0" w:color="FFFFFF" w:themeColor="background1"/>
            </w:tcBorders>
            <w:noWrap/>
            <w:hideMark/>
          </w:tcPr>
          <w:p w14:paraId="17A718BA" w14:textId="77777777" w:rsidR="006511F0" w:rsidRPr="00EE683A" w:rsidRDefault="006511F0" w:rsidP="00011A53">
            <w:pPr>
              <w:keepNext/>
              <w:spacing w:after="0"/>
              <w:rPr>
                <w:sz w:val="18"/>
              </w:rPr>
            </w:pPr>
            <w:r w:rsidRPr="00EE683A">
              <w:rPr>
                <w:sz w:val="18"/>
              </w:rPr>
              <w:t>Lime Rate t/ha</w:t>
            </w:r>
          </w:p>
          <w:p w14:paraId="006C45F5" w14:textId="77777777" w:rsidR="006511F0" w:rsidRPr="00EE683A" w:rsidRDefault="006511F0" w:rsidP="00011A53">
            <w:pPr>
              <w:keepNext/>
              <w:spacing w:after="0"/>
              <w:rPr>
                <w:sz w:val="18"/>
              </w:rPr>
            </w:pPr>
          </w:p>
        </w:tc>
      </w:tr>
      <w:tr w:rsidR="006511F0" w:rsidRPr="00E64D5A" w14:paraId="07B500F1" w14:textId="77777777" w:rsidTr="006511F0">
        <w:trPr>
          <w:trHeight w:val="24"/>
        </w:trPr>
        <w:tc>
          <w:tcPr>
            <w:tcW w:w="2461" w:type="dxa"/>
            <w:vMerge/>
            <w:tcBorders>
              <w:top w:val="single" w:sz="4" w:space="0" w:color="FFFFFF" w:themeColor="background1"/>
              <w:right w:val="single" w:sz="4" w:space="0" w:color="FFFFFF" w:themeColor="background1"/>
            </w:tcBorders>
            <w:noWrap/>
          </w:tcPr>
          <w:p w14:paraId="0D8334BC" w14:textId="77777777" w:rsidR="006511F0" w:rsidRPr="00EE683A" w:rsidRDefault="006511F0" w:rsidP="00011A53">
            <w:pPr>
              <w:keepNext/>
              <w:spacing w:after="0"/>
              <w:rPr>
                <w:sz w:val="18"/>
              </w:rPr>
            </w:pP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D57"/>
            <w:noWrap/>
          </w:tcPr>
          <w:p w14:paraId="7D8AD082" w14:textId="77777777" w:rsidR="006511F0" w:rsidRPr="00EE683A" w:rsidRDefault="006511F0" w:rsidP="00011A53">
            <w:pPr>
              <w:keepNext/>
              <w:spacing w:after="0"/>
              <w:rPr>
                <w:b/>
                <w:sz w:val="18"/>
              </w:rPr>
            </w:pPr>
            <w:r w:rsidRPr="00EE683A">
              <w:rPr>
                <w:b/>
                <w:sz w:val="18"/>
              </w:rPr>
              <w:t>Low</w:t>
            </w:r>
          </w:p>
        </w:tc>
        <w:tc>
          <w:tcPr>
            <w:tcW w:w="11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D57"/>
          </w:tcPr>
          <w:p w14:paraId="516DFE9E" w14:textId="77777777" w:rsidR="006511F0" w:rsidRPr="00EE683A" w:rsidRDefault="006511F0" w:rsidP="00011A53">
            <w:pPr>
              <w:keepNext/>
              <w:spacing w:after="0"/>
              <w:rPr>
                <w:b/>
                <w:sz w:val="18"/>
              </w:rPr>
            </w:pPr>
            <w:r w:rsidRPr="00EE683A">
              <w:rPr>
                <w:b/>
                <w:sz w:val="18"/>
              </w:rPr>
              <w:t>Medium</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D57"/>
          </w:tcPr>
          <w:p w14:paraId="03CDC2C0" w14:textId="77777777" w:rsidR="006511F0" w:rsidRPr="00EE683A" w:rsidRDefault="006511F0" w:rsidP="00011A53">
            <w:pPr>
              <w:keepNext/>
              <w:spacing w:after="0"/>
              <w:rPr>
                <w:b/>
                <w:sz w:val="18"/>
              </w:rPr>
            </w:pPr>
            <w:r w:rsidRPr="00EE683A">
              <w:rPr>
                <w:b/>
                <w:sz w:val="18"/>
              </w:rPr>
              <w:t>High</w:t>
            </w:r>
          </w:p>
        </w:tc>
      </w:tr>
      <w:tr w:rsidR="006511F0" w:rsidRPr="00E64D5A" w14:paraId="2F058D94" w14:textId="77777777" w:rsidTr="006511F0">
        <w:trPr>
          <w:trHeight w:val="24"/>
        </w:trPr>
        <w:tc>
          <w:tcPr>
            <w:tcW w:w="2461" w:type="dxa"/>
            <w:noWrap/>
            <w:hideMark/>
          </w:tcPr>
          <w:p w14:paraId="45F1D213" w14:textId="77777777" w:rsidR="006511F0" w:rsidRPr="00AA0595" w:rsidRDefault="006511F0" w:rsidP="00011A53">
            <w:pPr>
              <w:keepNext/>
              <w:spacing w:after="0"/>
              <w:rPr>
                <w:sz w:val="18"/>
              </w:rPr>
            </w:pPr>
            <w:r w:rsidRPr="00AA0595">
              <w:rPr>
                <w:sz w:val="18"/>
              </w:rPr>
              <w:t>Limesand</w:t>
            </w:r>
          </w:p>
        </w:tc>
        <w:tc>
          <w:tcPr>
            <w:tcW w:w="1162" w:type="dxa"/>
            <w:tcBorders>
              <w:top w:val="single" w:sz="4" w:space="0" w:color="FFFFFF" w:themeColor="background1"/>
            </w:tcBorders>
            <w:noWrap/>
            <w:hideMark/>
          </w:tcPr>
          <w:p w14:paraId="69150967" w14:textId="77777777" w:rsidR="006511F0" w:rsidRPr="00390EAD" w:rsidRDefault="006511F0" w:rsidP="00011A53">
            <w:pPr>
              <w:keepNext/>
              <w:spacing w:after="0"/>
              <w:jc w:val="center"/>
              <w:rPr>
                <w:sz w:val="18"/>
              </w:rPr>
            </w:pPr>
            <w:r w:rsidRPr="00390EAD">
              <w:rPr>
                <w:sz w:val="18"/>
              </w:rPr>
              <w:t>2</w:t>
            </w:r>
          </w:p>
        </w:tc>
        <w:tc>
          <w:tcPr>
            <w:tcW w:w="1162" w:type="dxa"/>
            <w:tcBorders>
              <w:top w:val="single" w:sz="4" w:space="0" w:color="FFFFFF" w:themeColor="background1"/>
            </w:tcBorders>
          </w:tcPr>
          <w:p w14:paraId="6716A0D6" w14:textId="77777777" w:rsidR="006511F0" w:rsidRPr="00390EAD" w:rsidRDefault="006511F0" w:rsidP="00011A53">
            <w:pPr>
              <w:keepNext/>
              <w:spacing w:after="0"/>
              <w:jc w:val="center"/>
              <w:rPr>
                <w:sz w:val="18"/>
              </w:rPr>
            </w:pPr>
            <w:r w:rsidRPr="00390EAD">
              <w:rPr>
                <w:sz w:val="18"/>
              </w:rPr>
              <w:t>4</w:t>
            </w:r>
          </w:p>
        </w:tc>
        <w:tc>
          <w:tcPr>
            <w:tcW w:w="1163" w:type="dxa"/>
            <w:tcBorders>
              <w:top w:val="single" w:sz="4" w:space="0" w:color="FFFFFF" w:themeColor="background1"/>
            </w:tcBorders>
          </w:tcPr>
          <w:p w14:paraId="6A252B93" w14:textId="77777777" w:rsidR="006511F0" w:rsidRPr="00390EAD" w:rsidRDefault="006511F0" w:rsidP="00011A53">
            <w:pPr>
              <w:keepNext/>
              <w:spacing w:after="0"/>
              <w:jc w:val="center"/>
              <w:rPr>
                <w:sz w:val="18"/>
              </w:rPr>
            </w:pPr>
            <w:r w:rsidRPr="00390EAD">
              <w:rPr>
                <w:sz w:val="18"/>
              </w:rPr>
              <w:t>8</w:t>
            </w:r>
          </w:p>
        </w:tc>
      </w:tr>
      <w:tr w:rsidR="006511F0" w:rsidRPr="00E64D5A" w14:paraId="3252340C" w14:textId="77777777" w:rsidTr="006511F0">
        <w:trPr>
          <w:trHeight w:val="24"/>
        </w:trPr>
        <w:tc>
          <w:tcPr>
            <w:tcW w:w="2461" w:type="dxa"/>
            <w:noWrap/>
            <w:hideMark/>
          </w:tcPr>
          <w:p w14:paraId="0315452E" w14:textId="77777777" w:rsidR="006511F0" w:rsidRPr="00AA0595" w:rsidRDefault="006511F0" w:rsidP="00011A53">
            <w:pPr>
              <w:keepNext/>
              <w:spacing w:after="0"/>
              <w:rPr>
                <w:sz w:val="18"/>
              </w:rPr>
            </w:pPr>
            <w:r w:rsidRPr="00AA0595">
              <w:rPr>
                <w:sz w:val="18"/>
              </w:rPr>
              <w:t>Local depositional</w:t>
            </w:r>
            <w:r w:rsidR="00B7475E">
              <w:rPr>
                <w:sz w:val="18"/>
              </w:rPr>
              <w:t xml:space="preserve"> </w:t>
            </w:r>
            <w:proofErr w:type="spellStart"/>
            <w:r w:rsidR="00B7475E">
              <w:rPr>
                <w:sz w:val="18"/>
              </w:rPr>
              <w:t>morrel</w:t>
            </w:r>
            <w:proofErr w:type="spellEnd"/>
          </w:p>
        </w:tc>
        <w:tc>
          <w:tcPr>
            <w:tcW w:w="1162" w:type="dxa"/>
            <w:noWrap/>
            <w:hideMark/>
          </w:tcPr>
          <w:p w14:paraId="620BA417" w14:textId="77777777" w:rsidR="006511F0" w:rsidRPr="00390EAD" w:rsidRDefault="006511F0" w:rsidP="00011A53">
            <w:pPr>
              <w:keepNext/>
              <w:spacing w:after="0"/>
              <w:jc w:val="center"/>
              <w:rPr>
                <w:sz w:val="18"/>
              </w:rPr>
            </w:pPr>
            <w:r w:rsidRPr="00390EAD">
              <w:rPr>
                <w:sz w:val="18"/>
              </w:rPr>
              <w:t>4.3</w:t>
            </w:r>
          </w:p>
        </w:tc>
        <w:tc>
          <w:tcPr>
            <w:tcW w:w="1162" w:type="dxa"/>
          </w:tcPr>
          <w:p w14:paraId="73A2F0E7" w14:textId="77777777" w:rsidR="006511F0" w:rsidRPr="00390EAD" w:rsidRDefault="006511F0" w:rsidP="00011A53">
            <w:pPr>
              <w:keepNext/>
              <w:spacing w:after="0"/>
              <w:jc w:val="center"/>
              <w:rPr>
                <w:sz w:val="18"/>
              </w:rPr>
            </w:pPr>
            <w:r w:rsidRPr="00390EAD">
              <w:rPr>
                <w:sz w:val="18"/>
              </w:rPr>
              <w:t>8.6</w:t>
            </w:r>
          </w:p>
        </w:tc>
        <w:tc>
          <w:tcPr>
            <w:tcW w:w="1163" w:type="dxa"/>
          </w:tcPr>
          <w:p w14:paraId="4D00CA00" w14:textId="77777777" w:rsidR="006511F0" w:rsidRPr="00390EAD" w:rsidRDefault="006511F0" w:rsidP="00011A53">
            <w:pPr>
              <w:keepNext/>
              <w:spacing w:after="0"/>
              <w:jc w:val="center"/>
              <w:rPr>
                <w:sz w:val="18"/>
              </w:rPr>
            </w:pPr>
            <w:r w:rsidRPr="00390EAD">
              <w:rPr>
                <w:sz w:val="18"/>
              </w:rPr>
              <w:t>17.2</w:t>
            </w:r>
          </w:p>
        </w:tc>
      </w:tr>
      <w:tr w:rsidR="006511F0" w:rsidRPr="00E64D5A" w14:paraId="310610C7" w14:textId="77777777" w:rsidTr="006511F0">
        <w:trPr>
          <w:trHeight w:val="24"/>
        </w:trPr>
        <w:tc>
          <w:tcPr>
            <w:tcW w:w="2461" w:type="dxa"/>
            <w:noWrap/>
            <w:hideMark/>
          </w:tcPr>
          <w:p w14:paraId="16A3863B" w14:textId="77777777" w:rsidR="006511F0" w:rsidRPr="00AA0595" w:rsidRDefault="006511F0" w:rsidP="00011A53">
            <w:pPr>
              <w:keepNext/>
              <w:spacing w:after="0"/>
              <w:rPr>
                <w:sz w:val="18"/>
              </w:rPr>
            </w:pPr>
            <w:r w:rsidRPr="00AA0595">
              <w:rPr>
                <w:sz w:val="18"/>
              </w:rPr>
              <w:t>Local dolerite</w:t>
            </w:r>
          </w:p>
        </w:tc>
        <w:tc>
          <w:tcPr>
            <w:tcW w:w="1162" w:type="dxa"/>
            <w:noWrap/>
            <w:hideMark/>
          </w:tcPr>
          <w:p w14:paraId="1A613F0E" w14:textId="77777777" w:rsidR="006511F0" w:rsidRPr="00390EAD" w:rsidRDefault="006511F0" w:rsidP="00011A53">
            <w:pPr>
              <w:keepNext/>
              <w:spacing w:after="0"/>
              <w:jc w:val="center"/>
              <w:rPr>
                <w:sz w:val="18"/>
              </w:rPr>
            </w:pPr>
            <w:r w:rsidRPr="00390EAD">
              <w:rPr>
                <w:sz w:val="18"/>
              </w:rPr>
              <w:t>7.35</w:t>
            </w:r>
          </w:p>
        </w:tc>
        <w:tc>
          <w:tcPr>
            <w:tcW w:w="1162" w:type="dxa"/>
          </w:tcPr>
          <w:p w14:paraId="1FBCC9B7" w14:textId="77777777" w:rsidR="006511F0" w:rsidRPr="00390EAD" w:rsidRDefault="006511F0" w:rsidP="00011A53">
            <w:pPr>
              <w:keepNext/>
              <w:spacing w:after="0"/>
              <w:jc w:val="center"/>
              <w:rPr>
                <w:sz w:val="18"/>
              </w:rPr>
            </w:pPr>
            <w:r w:rsidRPr="00390EAD">
              <w:rPr>
                <w:sz w:val="18"/>
              </w:rPr>
              <w:t>14.7</w:t>
            </w:r>
          </w:p>
        </w:tc>
        <w:tc>
          <w:tcPr>
            <w:tcW w:w="1163" w:type="dxa"/>
          </w:tcPr>
          <w:p w14:paraId="28932BDA" w14:textId="77777777" w:rsidR="006511F0" w:rsidRPr="00390EAD" w:rsidRDefault="006511F0" w:rsidP="00011A53">
            <w:pPr>
              <w:keepNext/>
              <w:spacing w:after="0"/>
              <w:jc w:val="center"/>
              <w:rPr>
                <w:sz w:val="18"/>
              </w:rPr>
            </w:pPr>
            <w:r w:rsidRPr="00390EAD">
              <w:rPr>
                <w:sz w:val="18"/>
              </w:rPr>
              <w:t>29.4</w:t>
            </w:r>
          </w:p>
        </w:tc>
      </w:tr>
      <w:tr w:rsidR="006511F0" w:rsidRPr="00E64D5A" w14:paraId="674173AA" w14:textId="77777777" w:rsidTr="006511F0">
        <w:trPr>
          <w:trHeight w:val="24"/>
        </w:trPr>
        <w:tc>
          <w:tcPr>
            <w:tcW w:w="2461" w:type="dxa"/>
            <w:noWrap/>
            <w:hideMark/>
          </w:tcPr>
          <w:p w14:paraId="50BE802D" w14:textId="77777777" w:rsidR="006511F0" w:rsidRPr="00AA0595" w:rsidRDefault="006511F0" w:rsidP="00011A53">
            <w:pPr>
              <w:keepNext/>
              <w:spacing w:after="0"/>
              <w:rPr>
                <w:sz w:val="18"/>
              </w:rPr>
            </w:pPr>
            <w:r w:rsidRPr="00AA0595">
              <w:rPr>
                <w:sz w:val="18"/>
              </w:rPr>
              <w:t>Nil Lime</w:t>
            </w:r>
          </w:p>
        </w:tc>
        <w:tc>
          <w:tcPr>
            <w:tcW w:w="3487" w:type="dxa"/>
            <w:gridSpan w:val="3"/>
            <w:noWrap/>
            <w:hideMark/>
          </w:tcPr>
          <w:p w14:paraId="37482F0A" w14:textId="77777777" w:rsidR="006511F0" w:rsidRPr="006034DC" w:rsidRDefault="006511F0" w:rsidP="00011A53">
            <w:pPr>
              <w:keepNext/>
              <w:spacing w:after="0"/>
              <w:jc w:val="center"/>
              <w:rPr>
                <w:sz w:val="18"/>
                <w:highlight w:val="yellow"/>
              </w:rPr>
            </w:pPr>
            <w:r w:rsidRPr="00AA0595">
              <w:rPr>
                <w:sz w:val="18"/>
              </w:rPr>
              <w:t>0</w:t>
            </w:r>
          </w:p>
        </w:tc>
      </w:tr>
    </w:tbl>
    <w:p w14:paraId="54FF2336" w14:textId="77777777" w:rsidR="00F222DA" w:rsidRPr="00F222DA" w:rsidRDefault="00F222DA" w:rsidP="00F222DA"/>
    <w:p w14:paraId="5AF6C261" w14:textId="77777777" w:rsidR="003B5F6B" w:rsidRPr="00252ACF" w:rsidRDefault="003B5F6B" w:rsidP="00252ACF">
      <w:pPr>
        <w:pStyle w:val="Heading3"/>
      </w:pPr>
      <w:r w:rsidRPr="00252ACF">
        <w:lastRenderedPageBreak/>
        <w:t>iLime app input</w:t>
      </w:r>
    </w:p>
    <w:p w14:paraId="478BF56E" w14:textId="77777777" w:rsidR="00D41E8B" w:rsidRDefault="003B5F6B" w:rsidP="00252ACF">
      <w:r w:rsidRPr="00E64D5A">
        <w:t xml:space="preserve">The iLime app was set up using the </w:t>
      </w:r>
      <w:r w:rsidR="00911E8F">
        <w:t>NV</w:t>
      </w:r>
      <w:r w:rsidR="008A3B65" w:rsidRPr="00E64D5A">
        <w:t xml:space="preserve"> of each </w:t>
      </w:r>
      <w:r w:rsidR="00B7475E">
        <w:t>particle</w:t>
      </w:r>
      <w:r w:rsidR="008A3B65" w:rsidRPr="00E64D5A">
        <w:t xml:space="preserve"> size</w:t>
      </w:r>
      <w:r w:rsidR="00A97DC6">
        <w:t>, and a cost of</w:t>
      </w:r>
      <w:r w:rsidR="00911E8F">
        <w:t xml:space="preserve"> $65/t </w:t>
      </w:r>
      <w:r w:rsidR="00A97DC6">
        <w:t>for limesand sourced from a distance o</w:t>
      </w:r>
      <w:r w:rsidR="00D41E8B">
        <w:t>f</w:t>
      </w:r>
      <w:r w:rsidR="00A97DC6">
        <w:t xml:space="preserve"> 450km.</w:t>
      </w:r>
      <w:r w:rsidR="00D41E8B">
        <w:t xml:space="preserve"> Both of t</w:t>
      </w:r>
      <w:r w:rsidR="008A3B65" w:rsidRPr="00E64D5A">
        <w:t>he local source</w:t>
      </w:r>
      <w:r w:rsidR="00647804">
        <w:t xml:space="preserve">s were costed at </w:t>
      </w:r>
      <w:r w:rsidR="0067364E">
        <w:t>$2</w:t>
      </w:r>
      <w:r w:rsidR="006511F0">
        <w:t>5</w:t>
      </w:r>
      <w:r w:rsidR="0067364E">
        <w:t xml:space="preserve">/t </w:t>
      </w:r>
      <w:r w:rsidR="00B472B4" w:rsidRPr="00E64D5A">
        <w:t xml:space="preserve">to simulate </w:t>
      </w:r>
      <w:r w:rsidR="006034DC">
        <w:t xml:space="preserve">freight, </w:t>
      </w:r>
      <w:r w:rsidR="00B472B4" w:rsidRPr="00E64D5A">
        <w:t>extraction and application</w:t>
      </w:r>
      <w:r w:rsidR="00B7475E">
        <w:t xml:space="preserve"> costs</w:t>
      </w:r>
      <w:r w:rsidR="00B472B4" w:rsidRPr="00E64D5A">
        <w:t>.</w:t>
      </w:r>
    </w:p>
    <w:p w14:paraId="5F534FE8" w14:textId="77777777" w:rsidR="00252ACF" w:rsidRDefault="00E539C6" w:rsidP="00252ACF">
      <w:r>
        <w:t>The</w:t>
      </w:r>
      <w:r w:rsidR="008A3B65" w:rsidRPr="00E64D5A">
        <w:t xml:space="preserve"> </w:t>
      </w:r>
      <w:r w:rsidR="00647804" w:rsidRPr="00E64D5A">
        <w:t>whea</w:t>
      </w:r>
      <w:r w:rsidR="00647804">
        <w:t>t-</w:t>
      </w:r>
      <w:r w:rsidR="00A10464">
        <w:t>pasture-wheat-lupin-canola</w:t>
      </w:r>
      <w:r w:rsidR="00647804" w:rsidRPr="00E64D5A">
        <w:t xml:space="preserve"> </w:t>
      </w:r>
      <w:r w:rsidR="008A3B65" w:rsidRPr="00E64D5A">
        <w:t>rotation selected was</w:t>
      </w:r>
      <w:r w:rsidR="006034DC">
        <w:t xml:space="preserve"> representative of </w:t>
      </w:r>
      <w:r w:rsidR="00B7475E">
        <w:t xml:space="preserve">the likely rotation in the paddock where the trial </w:t>
      </w:r>
      <w:r w:rsidR="00F54E5F">
        <w:t xml:space="preserve">was </w:t>
      </w:r>
      <w:r w:rsidR="00B7475E">
        <w:t>located</w:t>
      </w:r>
      <w:r w:rsidR="00D41E8B">
        <w:t>.</w:t>
      </w:r>
      <w:r w:rsidR="006034DC">
        <w:t xml:space="preserve"> </w:t>
      </w:r>
      <w:r w:rsidR="00B7475E">
        <w:t>Average</w:t>
      </w:r>
      <w:r w:rsidR="006034DC">
        <w:t xml:space="preserve"> yields </w:t>
      </w:r>
      <w:r w:rsidR="00647804">
        <w:t>were</w:t>
      </w:r>
      <w:r w:rsidR="00A10464">
        <w:t xml:space="preserve"> 1.24</w:t>
      </w:r>
      <w:r w:rsidR="006034DC">
        <w:t>t wheat</w:t>
      </w:r>
      <w:r w:rsidR="00A10464">
        <w:t xml:space="preserve"> (trial first year nil yield)</w:t>
      </w:r>
      <w:r w:rsidR="006034DC">
        <w:t>,</w:t>
      </w:r>
      <w:r w:rsidR="00A10464">
        <w:t xml:space="preserve"> 2DSE/ha pasture,</w:t>
      </w:r>
      <w:r w:rsidR="006034DC">
        <w:t xml:space="preserve"> </w:t>
      </w:r>
      <w:r w:rsidR="00A10464">
        <w:t>0.8</w:t>
      </w:r>
      <w:r w:rsidR="006034DC">
        <w:t>t</w:t>
      </w:r>
      <w:r w:rsidR="00A10464">
        <w:t xml:space="preserve"> </w:t>
      </w:r>
      <w:r w:rsidR="006034DC">
        <w:t xml:space="preserve">lupins, </w:t>
      </w:r>
      <w:r w:rsidR="00647804">
        <w:t xml:space="preserve">and </w:t>
      </w:r>
      <w:r w:rsidR="00A10464">
        <w:t>0.6</w:t>
      </w:r>
      <w:r w:rsidR="006034DC">
        <w:t>t canola.</w:t>
      </w:r>
      <w:r w:rsidR="008A3B65" w:rsidRPr="00E64D5A">
        <w:t xml:space="preserve"> </w:t>
      </w:r>
      <w:r w:rsidR="005756B6">
        <w:t>T</w:t>
      </w:r>
      <w:r w:rsidR="008A3B65" w:rsidRPr="00E64D5A">
        <w:t>he</w:t>
      </w:r>
      <w:r w:rsidR="00647804">
        <w:t xml:space="preserve"> default</w:t>
      </w:r>
      <w:r w:rsidR="008A3B65" w:rsidRPr="00E64D5A">
        <w:t xml:space="preserve"> </w:t>
      </w:r>
      <w:r w:rsidR="00EE6B04">
        <w:t>iLime</w:t>
      </w:r>
      <w:r w:rsidR="00D41E8B" w:rsidRPr="00E64D5A">
        <w:t xml:space="preserve"> nitrogen</w:t>
      </w:r>
      <w:r w:rsidR="006A5477" w:rsidRPr="00E64D5A">
        <w:t xml:space="preserve"> package</w:t>
      </w:r>
      <w:r w:rsidR="00EE6B04">
        <w:t xml:space="preserve"> was used,</w:t>
      </w:r>
      <w:r w:rsidR="006034DC">
        <w:t xml:space="preserve"> which does not affect yield</w:t>
      </w:r>
      <w:r w:rsidR="006A5477" w:rsidRPr="00E64D5A">
        <w:t>.</w:t>
      </w:r>
      <w:r w:rsidR="006034DC">
        <w:t xml:space="preserve"> </w:t>
      </w:r>
    </w:p>
    <w:p w14:paraId="1A2D540C" w14:textId="77777777" w:rsidR="00252ACF" w:rsidRDefault="006615D0" w:rsidP="00252ACF">
      <w:pPr>
        <w:pStyle w:val="Heading3"/>
      </w:pPr>
      <w:r w:rsidRPr="00252ACF">
        <w:t>Data collection</w:t>
      </w:r>
    </w:p>
    <w:p w14:paraId="57FDFEE4" w14:textId="77777777" w:rsidR="006615D0" w:rsidRPr="00E64D5A" w:rsidRDefault="00264986" w:rsidP="00252ACF">
      <w:r w:rsidRPr="00E64D5A">
        <w:t xml:space="preserve">Soil samples were collected across the trial and analysed </w:t>
      </w:r>
      <w:r w:rsidR="00F54E5F">
        <w:t>before</w:t>
      </w:r>
      <w:r w:rsidRPr="00E64D5A">
        <w:t xml:space="preserve"> seeding. </w:t>
      </w:r>
      <w:r w:rsidR="006034DC">
        <w:t>The site will be resampled pre</w:t>
      </w:r>
      <w:r w:rsidR="00F54E5F">
        <w:t>-</w:t>
      </w:r>
      <w:r w:rsidR="006034DC">
        <w:t>seeding in 2020</w:t>
      </w:r>
      <w:r w:rsidRPr="00E64D5A">
        <w:t xml:space="preserve">. Plant establishment counts were </w:t>
      </w:r>
      <w:r w:rsidR="00F54E5F">
        <w:t>done</w:t>
      </w:r>
      <w:r w:rsidR="00F54E5F" w:rsidRPr="00E64D5A">
        <w:t xml:space="preserve"> </w:t>
      </w:r>
      <w:r w:rsidR="006034DC">
        <w:t xml:space="preserve">one month </w:t>
      </w:r>
      <w:r w:rsidR="00F54E5F">
        <w:t xml:space="preserve">after </w:t>
      </w:r>
      <w:r w:rsidR="006034DC">
        <w:t>crop emergence</w:t>
      </w:r>
      <w:r w:rsidR="00A768EC" w:rsidRPr="00E64D5A">
        <w:t xml:space="preserve">. </w:t>
      </w:r>
    </w:p>
    <w:p w14:paraId="462842F3" w14:textId="77777777" w:rsidR="00A768EC" w:rsidRPr="00E64D5A" w:rsidRDefault="00A768EC" w:rsidP="00A540EB">
      <w:r w:rsidRPr="00E64D5A">
        <w:t>Harvest cuts were taken along two 0.5m rows in two</w:t>
      </w:r>
      <w:r w:rsidR="00CE6367">
        <w:t xml:space="preserve"> representative</w:t>
      </w:r>
      <w:r w:rsidRPr="00E64D5A">
        <w:t xml:space="preserve"> locations </w:t>
      </w:r>
      <w:r w:rsidR="0067364E">
        <w:t>with</w:t>
      </w:r>
      <w:r w:rsidRPr="00E64D5A">
        <w:t>in each plot</w:t>
      </w:r>
      <w:r w:rsidR="00647804">
        <w:t xml:space="preserve"> for</w:t>
      </w:r>
      <w:r w:rsidR="003A1EF9">
        <w:t xml:space="preserve"> </w:t>
      </w:r>
      <w:r w:rsidRPr="00E64D5A">
        <w:t xml:space="preserve">dry weight, head </w:t>
      </w:r>
      <w:r w:rsidR="00647804">
        <w:t>number,</w:t>
      </w:r>
      <w:r w:rsidR="00647804" w:rsidRPr="00E64D5A">
        <w:t xml:space="preserve"> </w:t>
      </w:r>
      <w:r w:rsidRPr="00E64D5A">
        <w:t xml:space="preserve">and grain weight. </w:t>
      </w:r>
      <w:r w:rsidR="00F54E5F">
        <w:t>In addition,</w:t>
      </w:r>
      <w:r w:rsidR="00F54E5F" w:rsidRPr="00E64D5A">
        <w:t xml:space="preserve"> </w:t>
      </w:r>
      <w:r w:rsidRPr="00E64D5A">
        <w:t>1m</w:t>
      </w:r>
      <w:r w:rsidR="00F54E5F">
        <w:t>-</w:t>
      </w:r>
      <w:r w:rsidRPr="00E64D5A">
        <w:t xml:space="preserve">row cuts were taken along previous </w:t>
      </w:r>
      <w:r w:rsidR="00F54E5F">
        <w:br/>
      </w:r>
      <w:proofErr w:type="spellStart"/>
      <w:r w:rsidR="00B7475E">
        <w:t>seeder</w:t>
      </w:r>
      <w:proofErr w:type="spellEnd"/>
      <w:r w:rsidR="00F54E5F">
        <w:t>-</w:t>
      </w:r>
      <w:r w:rsidR="006200C3">
        <w:t>traffic tyr</w:t>
      </w:r>
      <w:r w:rsidRPr="00E64D5A">
        <w:t>e lines</w:t>
      </w:r>
      <w:r w:rsidR="00B7475E">
        <w:t xml:space="preserve"> that ran through several plots</w:t>
      </w:r>
      <w:r w:rsidRPr="00E64D5A">
        <w:t>.</w:t>
      </w:r>
      <w:r w:rsidR="009F0AE2" w:rsidRPr="00E64D5A">
        <w:t xml:space="preserve"> </w:t>
      </w:r>
      <w:r w:rsidR="00647804">
        <w:t>Plots were harvested with a plot</w:t>
      </w:r>
      <w:r w:rsidR="008A7053">
        <w:t xml:space="preserve"> header an</w:t>
      </w:r>
      <w:r w:rsidR="00647804">
        <w:t>d grain samples retai</w:t>
      </w:r>
      <w:r w:rsidR="008A7053">
        <w:t>ned for</w:t>
      </w:r>
      <w:r w:rsidR="00647804">
        <w:t xml:space="preserve"> </w:t>
      </w:r>
      <w:r w:rsidR="009F0AE2" w:rsidRPr="00E64D5A">
        <w:t>quality analysis</w:t>
      </w:r>
      <w:r w:rsidR="00D45451">
        <w:t>.</w:t>
      </w:r>
    </w:p>
    <w:p w14:paraId="119D411E" w14:textId="77777777" w:rsidR="006615D0" w:rsidRPr="00E64D5A" w:rsidRDefault="006615D0" w:rsidP="00252ACF">
      <w:pPr>
        <w:pStyle w:val="Heading3"/>
      </w:pPr>
      <w:r w:rsidRPr="00E64D5A">
        <w:t>Data analyses</w:t>
      </w:r>
    </w:p>
    <w:p w14:paraId="58D7D165" w14:textId="77777777" w:rsidR="006615D0" w:rsidRPr="00E64D5A" w:rsidRDefault="00A768EC" w:rsidP="00252ACF">
      <w:r w:rsidRPr="00E64D5A">
        <w:t xml:space="preserve">Yield results were </w:t>
      </w:r>
      <w:r w:rsidR="006200C3">
        <w:t>analysed in</w:t>
      </w:r>
      <w:r w:rsidRPr="006B7352">
        <w:rPr>
          <w:szCs w:val="20"/>
        </w:rPr>
        <w:t xml:space="preserve"> </w:t>
      </w:r>
      <w:r w:rsidR="006B7352" w:rsidRPr="006B7352">
        <w:rPr>
          <w:rFonts w:cs="Arial"/>
          <w:szCs w:val="20"/>
        </w:rPr>
        <w:t>GenStat Statistics Guide 19</w:t>
      </w:r>
      <w:r w:rsidR="006B7352" w:rsidRPr="006B7352">
        <w:rPr>
          <w:rFonts w:cs="Arial"/>
          <w:szCs w:val="20"/>
          <w:vertAlign w:val="superscript"/>
        </w:rPr>
        <w:t>th</w:t>
      </w:r>
      <w:r w:rsidR="006B7352" w:rsidRPr="006B7352">
        <w:rPr>
          <w:rFonts w:cs="Arial"/>
          <w:szCs w:val="20"/>
        </w:rPr>
        <w:t> Edition</w:t>
      </w:r>
      <w:r w:rsidR="0087643F">
        <w:rPr>
          <w:szCs w:val="20"/>
        </w:rPr>
        <w:t xml:space="preserve">. </w:t>
      </w:r>
      <w:r w:rsidR="00EE6B04">
        <w:t>L</w:t>
      </w:r>
      <w:r w:rsidR="0084494D">
        <w:t xml:space="preserve">SDs </w:t>
      </w:r>
      <w:r w:rsidRPr="00E64D5A">
        <w:t>were applied at a 0.</w:t>
      </w:r>
      <w:r w:rsidR="006200C3">
        <w:t>0</w:t>
      </w:r>
      <w:r w:rsidRPr="00E64D5A">
        <w:t>5 significance level.</w:t>
      </w:r>
    </w:p>
    <w:p w14:paraId="6A89040E" w14:textId="77777777" w:rsidR="008C6588" w:rsidRPr="00E64D5A" w:rsidRDefault="003B6DA6" w:rsidP="00AA0595">
      <w:pPr>
        <w:pStyle w:val="Heading2"/>
      </w:pPr>
      <w:r w:rsidRPr="00E64D5A">
        <w:t>R</w:t>
      </w:r>
      <w:r w:rsidR="008C6588" w:rsidRPr="00E64D5A">
        <w:t>esults</w:t>
      </w:r>
      <w:r w:rsidR="002C3135">
        <w:t xml:space="preserve"> and d</w:t>
      </w:r>
      <w:r w:rsidR="004A05D6" w:rsidRPr="00E64D5A">
        <w:t>iscussion</w:t>
      </w:r>
      <w:r w:rsidR="00997D1B" w:rsidRPr="00E64D5A">
        <w:t xml:space="preserve"> to date</w:t>
      </w:r>
    </w:p>
    <w:p w14:paraId="256D6A4C" w14:textId="77777777" w:rsidR="008C6588" w:rsidRPr="00E64D5A" w:rsidRDefault="0031755D" w:rsidP="00BE55DF">
      <w:pPr>
        <w:pStyle w:val="Heading3"/>
        <w:keepNext w:val="0"/>
      </w:pPr>
      <w:r>
        <w:t>Y</w:t>
      </w:r>
      <w:r w:rsidR="000A49EF" w:rsidRPr="00E64D5A">
        <w:t>ield response</w:t>
      </w:r>
    </w:p>
    <w:p w14:paraId="7193BDF2" w14:textId="77777777" w:rsidR="00350618" w:rsidRDefault="00350618" w:rsidP="00B7103C">
      <w:r>
        <w:rPr>
          <w:noProof/>
          <w:lang w:eastAsia="en-AU"/>
        </w:rPr>
        <w:drawing>
          <wp:anchor distT="0" distB="0" distL="114300" distR="114300" simplePos="0" relativeHeight="251705344" behindDoc="0" locked="0" layoutInCell="1" allowOverlap="1" wp14:anchorId="009FEF49" wp14:editId="12AB6611">
            <wp:simplePos x="0" y="0"/>
            <wp:positionH relativeFrom="margin">
              <wp:posOffset>-273050</wp:posOffset>
            </wp:positionH>
            <wp:positionV relativeFrom="paragraph">
              <wp:posOffset>1780410</wp:posOffset>
            </wp:positionV>
            <wp:extent cx="6297930" cy="2640330"/>
            <wp:effectExtent l="0" t="0" r="7620" b="762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45451" w:rsidRPr="00622B89">
        <w:t>Cultivation</w:t>
      </w:r>
      <w:r w:rsidR="00622B89">
        <w:t xml:space="preserve"> overall</w:t>
      </w:r>
      <w:r w:rsidR="00D45451" w:rsidRPr="00622B89">
        <w:t xml:space="preserve"> increased yield by</w:t>
      </w:r>
      <w:r w:rsidR="006200C3">
        <w:t xml:space="preserve"> 0.77t/ha (p</w:t>
      </w:r>
      <w:r w:rsidR="0031755D" w:rsidRPr="00622B89">
        <w:t xml:space="preserve">&lt;0.001). </w:t>
      </w:r>
      <w:r w:rsidR="009D6097" w:rsidRPr="00622B89">
        <w:t xml:space="preserve">There was </w:t>
      </w:r>
      <w:r w:rsidR="00FA7EB4" w:rsidRPr="00622B89">
        <w:t xml:space="preserve">also </w:t>
      </w:r>
      <w:r w:rsidR="009D6097" w:rsidRPr="00622B89">
        <w:t xml:space="preserve">a </w:t>
      </w:r>
      <w:r w:rsidR="00C62EF6" w:rsidRPr="00622B89">
        <w:t xml:space="preserve">significant </w:t>
      </w:r>
      <w:r w:rsidR="003D5A49" w:rsidRPr="00622B89">
        <w:t>overall</w:t>
      </w:r>
      <w:r w:rsidR="009D6097" w:rsidRPr="00622B89">
        <w:t xml:space="preserve"> ameliorant effect (</w:t>
      </w:r>
      <w:r w:rsidR="006200C3">
        <w:t>p</w:t>
      </w:r>
      <w:r w:rsidR="00FA7EB4" w:rsidRPr="00622B89">
        <w:t>=</w:t>
      </w:r>
      <w:r w:rsidR="00FA7EB4" w:rsidRPr="00622B89">
        <w:rPr>
          <w:rFonts w:cs="Arial"/>
          <w:szCs w:val="20"/>
        </w:rPr>
        <w:t>0.047</w:t>
      </w:r>
      <w:r w:rsidR="00FA7EB4" w:rsidRPr="00622B89">
        <w:t>)</w:t>
      </w:r>
      <w:r w:rsidR="00B7103C">
        <w:t>,</w:t>
      </w:r>
      <w:r w:rsidR="00FA7EB4" w:rsidRPr="00622B89">
        <w:t xml:space="preserve"> where the local dolerite at 29.4t/ha and </w:t>
      </w:r>
      <w:r w:rsidR="00622B89" w:rsidRPr="00622B89">
        <w:t>limesand</w:t>
      </w:r>
      <w:r w:rsidR="00FA7EB4" w:rsidRPr="00622B89">
        <w:t xml:space="preserve"> at 8t/ha both had a significant increase in yield (0.55t/ha and 0.57t/ha respectively</w:t>
      </w:r>
      <w:r w:rsidR="00A776D9">
        <w:t>)</w:t>
      </w:r>
      <w:r w:rsidR="00FA7EB4" w:rsidRPr="00622B89">
        <w:t xml:space="preserve">. </w:t>
      </w:r>
      <w:r w:rsidR="00F54E5F">
        <w:t>When the rates were combined</w:t>
      </w:r>
      <w:r w:rsidR="00F54E5F" w:rsidRPr="00622B89">
        <w:t xml:space="preserve"> </w:t>
      </w:r>
      <w:r w:rsidR="00F54E5F">
        <w:t>t</w:t>
      </w:r>
      <w:r w:rsidR="00622B89" w:rsidRPr="00622B89">
        <w:t>here was lime sources</w:t>
      </w:r>
      <w:r w:rsidR="00F54E5F">
        <w:t xml:space="preserve"> differed significantly in yield</w:t>
      </w:r>
      <w:r w:rsidR="000D265F">
        <w:t xml:space="preserve"> </w:t>
      </w:r>
      <w:r w:rsidR="00622B89" w:rsidRPr="00622B89">
        <w:t>(p=</w:t>
      </w:r>
      <w:r w:rsidR="00622B89" w:rsidRPr="00622B89">
        <w:rPr>
          <w:rFonts w:cs="Arial"/>
          <w:szCs w:val="20"/>
        </w:rPr>
        <w:t>0.036)</w:t>
      </w:r>
      <w:r w:rsidR="00F54E5F">
        <w:rPr>
          <w:rFonts w:cs="Arial"/>
          <w:szCs w:val="20"/>
        </w:rPr>
        <w:t>.</w:t>
      </w:r>
      <w:r w:rsidR="00622B89" w:rsidRPr="00622B89">
        <w:rPr>
          <w:rFonts w:cs="Arial"/>
          <w:szCs w:val="20"/>
        </w:rPr>
        <w:t xml:space="preserve"> </w:t>
      </w:r>
      <w:r w:rsidR="00F54E5F">
        <w:rPr>
          <w:rFonts w:cs="Arial"/>
          <w:szCs w:val="20"/>
        </w:rPr>
        <w:t>T</w:t>
      </w:r>
      <w:r w:rsidR="00622B89" w:rsidRPr="00622B89">
        <w:rPr>
          <w:rFonts w:cs="Arial"/>
          <w:szCs w:val="20"/>
        </w:rPr>
        <w:t xml:space="preserve">he local dolerite significantly improved yield (0.34t/ha, p=0.009) </w:t>
      </w:r>
      <w:r w:rsidR="00F54E5F">
        <w:rPr>
          <w:rFonts w:cs="Arial"/>
          <w:szCs w:val="20"/>
        </w:rPr>
        <w:t>while the</w:t>
      </w:r>
      <w:r w:rsidR="00F54E5F" w:rsidRPr="00622B89">
        <w:rPr>
          <w:rFonts w:cs="Arial"/>
          <w:szCs w:val="20"/>
        </w:rPr>
        <w:t xml:space="preserve"> </w:t>
      </w:r>
      <w:proofErr w:type="spellStart"/>
      <w:r w:rsidR="00622B89" w:rsidRPr="00622B89">
        <w:rPr>
          <w:rFonts w:cs="Arial"/>
          <w:szCs w:val="20"/>
        </w:rPr>
        <w:t>limesand</w:t>
      </w:r>
      <w:proofErr w:type="spellEnd"/>
      <w:r w:rsidR="00622B89" w:rsidRPr="00622B89">
        <w:rPr>
          <w:rFonts w:cs="Arial"/>
          <w:szCs w:val="20"/>
        </w:rPr>
        <w:t xml:space="preserve"> was significant at a 10% level (0.25t/ha, p=0.053). The local depositional</w:t>
      </w:r>
      <w:r w:rsidR="00622B89">
        <w:rPr>
          <w:rFonts w:cs="Arial"/>
          <w:szCs w:val="20"/>
        </w:rPr>
        <w:t xml:space="preserve"> </w:t>
      </w:r>
      <w:proofErr w:type="spellStart"/>
      <w:r w:rsidR="009D5DB6">
        <w:rPr>
          <w:rFonts w:cs="Arial"/>
          <w:szCs w:val="20"/>
        </w:rPr>
        <w:t>morrel</w:t>
      </w:r>
      <w:proofErr w:type="spellEnd"/>
      <w:r w:rsidR="009D5DB6">
        <w:rPr>
          <w:rFonts w:cs="Arial"/>
          <w:szCs w:val="20"/>
        </w:rPr>
        <w:t xml:space="preserve"> </w:t>
      </w:r>
      <w:r w:rsidR="00622B89">
        <w:rPr>
          <w:rFonts w:cs="Arial"/>
          <w:szCs w:val="20"/>
        </w:rPr>
        <w:t>source</w:t>
      </w:r>
      <w:r w:rsidR="00622B89" w:rsidRPr="00622B89">
        <w:rPr>
          <w:rFonts w:cs="Arial"/>
          <w:szCs w:val="20"/>
        </w:rPr>
        <w:t xml:space="preserve"> was not significant compared to the nil.</w:t>
      </w:r>
      <w:r w:rsidR="00622B89">
        <w:rPr>
          <w:rFonts w:cs="Arial"/>
          <w:szCs w:val="20"/>
        </w:rPr>
        <w:t xml:space="preserve"> There was a significant interaction between cultivation and amelioration (p=0.045). This was indicative of amelioration having a larger effect when also combined with cultivation. The cultivated </w:t>
      </w:r>
      <w:r w:rsidR="00B7103C">
        <w:rPr>
          <w:rFonts w:cs="Arial"/>
          <w:szCs w:val="20"/>
        </w:rPr>
        <w:t>high</w:t>
      </w:r>
      <w:r w:rsidR="00F54E5F">
        <w:rPr>
          <w:rFonts w:cs="Arial"/>
          <w:szCs w:val="20"/>
        </w:rPr>
        <w:t xml:space="preserve"> </w:t>
      </w:r>
      <w:r w:rsidR="00B7103C">
        <w:rPr>
          <w:rFonts w:cs="Arial"/>
          <w:szCs w:val="20"/>
        </w:rPr>
        <w:t xml:space="preserve">rate of </w:t>
      </w:r>
      <w:proofErr w:type="spellStart"/>
      <w:r w:rsidR="00B7103C">
        <w:rPr>
          <w:rFonts w:cs="Arial"/>
          <w:szCs w:val="20"/>
        </w:rPr>
        <w:t>limesand</w:t>
      </w:r>
      <w:proofErr w:type="spellEnd"/>
      <w:r w:rsidR="00B7103C">
        <w:rPr>
          <w:rFonts w:cs="Arial"/>
          <w:szCs w:val="20"/>
        </w:rPr>
        <w:t xml:space="preserve"> (8t/ha), l</w:t>
      </w:r>
      <w:r w:rsidR="00622B89">
        <w:rPr>
          <w:rFonts w:cs="Arial"/>
          <w:szCs w:val="20"/>
        </w:rPr>
        <w:t>ocal dolerite (29.4t/ha) and low rate of dolerite (7.35t/ha) had significantly improved yields from the nil,</w:t>
      </w:r>
      <w:r w:rsidR="00F54E5F">
        <w:rPr>
          <w:rFonts w:cs="Arial"/>
          <w:szCs w:val="20"/>
        </w:rPr>
        <w:t xml:space="preserve"> however</w:t>
      </w:r>
      <w:r w:rsidR="00622B89">
        <w:rPr>
          <w:rFonts w:cs="Arial"/>
          <w:szCs w:val="20"/>
        </w:rPr>
        <w:t xml:space="preserve"> there were no significant differences from the nil when</w:t>
      </w:r>
      <w:r w:rsidR="00B7103C">
        <w:rPr>
          <w:rFonts w:cs="Arial"/>
          <w:szCs w:val="20"/>
        </w:rPr>
        <w:t xml:space="preserve"> amelioration</w:t>
      </w:r>
      <w:r w:rsidR="00622B89">
        <w:rPr>
          <w:rFonts w:cs="Arial"/>
          <w:szCs w:val="20"/>
        </w:rPr>
        <w:t xml:space="preserve"> treatments were uncultivated</w:t>
      </w:r>
      <w:r w:rsidR="00F54E5F">
        <w:rPr>
          <w:rFonts w:cs="Arial"/>
          <w:szCs w:val="20"/>
        </w:rPr>
        <w:t xml:space="preserve"> (Figure 1).</w:t>
      </w:r>
      <w:r w:rsidR="00622B89">
        <w:rPr>
          <w:rFonts w:cs="Arial"/>
          <w:szCs w:val="20"/>
        </w:rPr>
        <w:t xml:space="preserve"> </w:t>
      </w:r>
    </w:p>
    <w:p w14:paraId="4BEAF309" w14:textId="77777777" w:rsidR="00B7103C" w:rsidRPr="0084494D" w:rsidRDefault="009D6097" w:rsidP="00B7103C">
      <w:pPr>
        <w:rPr>
          <w:rFonts w:eastAsia="Times New Roman" w:cs="Arial"/>
          <w:b/>
          <w:bCs/>
          <w:sz w:val="22"/>
          <w:lang w:eastAsia="en-AU"/>
        </w:rPr>
      </w:pPr>
      <w:r w:rsidRPr="0084494D">
        <w:rPr>
          <w:b/>
          <w:sz w:val="22"/>
        </w:rPr>
        <w:t xml:space="preserve"> </w:t>
      </w:r>
      <w:r w:rsidR="00B7103C" w:rsidRPr="0084494D">
        <w:rPr>
          <w:b/>
          <w:sz w:val="22"/>
        </w:rPr>
        <w:t>Figure 1</w:t>
      </w:r>
      <w:r w:rsidR="00F54E5F">
        <w:rPr>
          <w:b/>
          <w:sz w:val="22"/>
        </w:rPr>
        <w:t>.</w:t>
      </w:r>
      <w:r w:rsidR="00B7103C" w:rsidRPr="0084494D">
        <w:rPr>
          <w:b/>
          <w:sz w:val="22"/>
        </w:rPr>
        <w:t xml:space="preserve"> 2019 </w:t>
      </w:r>
      <w:r w:rsidR="00F54E5F">
        <w:rPr>
          <w:b/>
          <w:sz w:val="22"/>
        </w:rPr>
        <w:t>c</w:t>
      </w:r>
      <w:r w:rsidR="00B7103C" w:rsidRPr="0084494D">
        <w:rPr>
          <w:b/>
          <w:sz w:val="22"/>
        </w:rPr>
        <w:t>rop yield response to ameliorants compared to iLime predicted first year yield response in cultivated and uncultivated treatments.</w:t>
      </w:r>
      <w:r w:rsidR="00B7103C" w:rsidRPr="0084494D">
        <w:rPr>
          <w:rFonts w:eastAsia="Times New Roman" w:cs="Arial"/>
          <w:b/>
          <w:bCs/>
          <w:sz w:val="22"/>
          <w:lang w:eastAsia="en-AU"/>
        </w:rPr>
        <w:t xml:space="preserve"> </w:t>
      </w:r>
      <w:proofErr w:type="spellStart"/>
      <w:r w:rsidR="00B7103C" w:rsidRPr="0084494D">
        <w:rPr>
          <w:rFonts w:eastAsia="Times New Roman" w:cs="Arial"/>
          <w:b/>
          <w:bCs/>
          <w:sz w:val="22"/>
          <w:lang w:eastAsia="en-AU"/>
        </w:rPr>
        <w:t>Lsd</w:t>
      </w:r>
      <w:proofErr w:type="spellEnd"/>
      <w:r w:rsidR="00B7103C" w:rsidRPr="0084494D">
        <w:rPr>
          <w:rFonts w:eastAsia="Times New Roman" w:cs="Arial"/>
          <w:b/>
          <w:bCs/>
          <w:sz w:val="22"/>
          <w:lang w:eastAsia="en-AU"/>
        </w:rPr>
        <w:t xml:space="preserve"> p=0.05</w:t>
      </w:r>
    </w:p>
    <w:p w14:paraId="0F7A7F82" w14:textId="77777777" w:rsidR="003D5A49" w:rsidRDefault="003D5A49" w:rsidP="00B7103C">
      <w:r>
        <w:lastRenderedPageBreak/>
        <w:t>The main driver in yield this year appeared to be cultivation across all sources</w:t>
      </w:r>
      <w:r w:rsidR="000628D6" w:rsidRPr="00E64D5A">
        <w:t>.</w:t>
      </w:r>
      <w:r w:rsidR="00BB748B">
        <w:t xml:space="preserve"> </w:t>
      </w:r>
      <w:r w:rsidR="00822117">
        <w:t>O</w:t>
      </w:r>
      <w:r w:rsidR="00B273D4">
        <w:t>ften yield responses</w:t>
      </w:r>
      <w:r w:rsidR="000D265F">
        <w:t xml:space="preserve"> to amelioration</w:t>
      </w:r>
      <w:r w:rsidR="00B273D4">
        <w:t xml:space="preserve"> </w:t>
      </w:r>
      <w:r w:rsidR="00822117">
        <w:t>take more than one year</w:t>
      </w:r>
      <w:r w:rsidR="00B7103C">
        <w:t>,</w:t>
      </w:r>
      <w:r w:rsidR="00BB748B">
        <w:t xml:space="preserve"> particularly in low rainfall </w:t>
      </w:r>
      <w:r w:rsidR="00822117">
        <w:t>with</w:t>
      </w:r>
      <w:r w:rsidR="00BB748B">
        <w:t xml:space="preserve"> less water to </w:t>
      </w:r>
      <w:r w:rsidR="00822117">
        <w:t xml:space="preserve">carry </w:t>
      </w:r>
      <w:r w:rsidR="009111CC">
        <w:t>alkalinity</w:t>
      </w:r>
      <w:r w:rsidR="00B273D4">
        <w:t xml:space="preserve"> down the profile. </w:t>
      </w:r>
      <w:r w:rsidR="00822117">
        <w:t>There is</w:t>
      </w:r>
      <w:r w:rsidR="00D41E8B">
        <w:t>,</w:t>
      </w:r>
      <w:r w:rsidR="00B273D4">
        <w:t xml:space="preserve"> however, a benefit </w:t>
      </w:r>
      <w:r w:rsidR="00822117">
        <w:t xml:space="preserve">of </w:t>
      </w:r>
      <w:r w:rsidR="00B273D4">
        <w:t xml:space="preserve">mixing lime into the soil profile by cultivation. </w:t>
      </w:r>
      <w:r w:rsidR="000628D6" w:rsidRPr="00E64D5A">
        <w:t xml:space="preserve">The variation </w:t>
      </w:r>
      <w:r w:rsidR="00D13EAA">
        <w:t>in</w:t>
      </w:r>
      <w:r w:rsidR="000628D6" w:rsidRPr="00E64D5A">
        <w:t xml:space="preserve"> yield responses </w:t>
      </w:r>
      <w:r>
        <w:t xml:space="preserve">might </w:t>
      </w:r>
      <w:r w:rsidR="00D13EAA">
        <w:t>also be influenced</w:t>
      </w:r>
      <w:r>
        <w:t xml:space="preserve"> </w:t>
      </w:r>
      <w:r w:rsidR="00D13EAA">
        <w:t>by</w:t>
      </w:r>
      <w:r w:rsidR="006B7352">
        <w:t xml:space="preserve"> site</w:t>
      </w:r>
      <w:r w:rsidR="00C62EF6">
        <w:t xml:space="preserve"> </w:t>
      </w:r>
      <w:r w:rsidR="00822117">
        <w:t>variability</w:t>
      </w:r>
      <w:r w:rsidR="000628D6" w:rsidRPr="00E64D5A">
        <w:t>.</w:t>
      </w:r>
      <w:r w:rsidRPr="003D5A49">
        <w:t xml:space="preserve"> </w:t>
      </w:r>
      <w:r>
        <w:t xml:space="preserve">Intensive soil sampling </w:t>
      </w:r>
      <w:r w:rsidR="00D13EAA">
        <w:t xml:space="preserve">of the plots </w:t>
      </w:r>
      <w:r>
        <w:t>this summer 2020 will provide more information</w:t>
      </w:r>
      <w:r w:rsidRPr="00E64D5A">
        <w:t>.</w:t>
      </w:r>
      <w:r w:rsidR="00C62EF6">
        <w:t xml:space="preserve"> </w:t>
      </w:r>
      <w:r>
        <w:t xml:space="preserve">Yields were also </w:t>
      </w:r>
      <w:r w:rsidR="002D682E">
        <w:t>potentially</w:t>
      </w:r>
      <w:r>
        <w:t xml:space="preserve"> influenced by the dry September and three consecutive days over 30</w:t>
      </w:r>
      <w:r>
        <w:rPr>
          <w:rFonts w:cs="Arial"/>
        </w:rPr>
        <w:t>°</w:t>
      </w:r>
      <w:r>
        <w:t>C.</w:t>
      </w:r>
      <w:r w:rsidRPr="00D41E8B">
        <w:t xml:space="preserve"> </w:t>
      </w:r>
    </w:p>
    <w:p w14:paraId="697A4C88" w14:textId="77777777" w:rsidR="00A42F6A" w:rsidRPr="00E64D5A" w:rsidRDefault="002E30EA" w:rsidP="00CE6367">
      <w:pPr>
        <w:pStyle w:val="Heading3"/>
        <w:keepLines w:val="0"/>
      </w:pPr>
      <w:r w:rsidRPr="00E64D5A">
        <w:t xml:space="preserve">Trial and </w:t>
      </w:r>
      <w:r w:rsidR="00A42F6A" w:rsidRPr="00E64D5A">
        <w:t>iLime yield comparison</w:t>
      </w:r>
    </w:p>
    <w:p w14:paraId="13D6E0FD" w14:textId="77777777" w:rsidR="00A42F6A" w:rsidRPr="00E64D5A" w:rsidRDefault="00AE4C83" w:rsidP="0031755D">
      <w:pPr>
        <w:keepNext/>
      </w:pPr>
      <w:r w:rsidRPr="00E64D5A">
        <w:t xml:space="preserve">iLime predicted </w:t>
      </w:r>
      <w:r w:rsidR="00C62EF6">
        <w:t>close to</w:t>
      </w:r>
      <w:r w:rsidR="00507C83">
        <w:t xml:space="preserve"> observed </w:t>
      </w:r>
      <w:r w:rsidRPr="00E64D5A">
        <w:t xml:space="preserve">yields </w:t>
      </w:r>
      <w:r w:rsidR="00507C83">
        <w:t>in</w:t>
      </w:r>
      <w:r w:rsidRPr="00E64D5A">
        <w:t xml:space="preserve"> the uncultivated treatments</w:t>
      </w:r>
      <w:r w:rsidR="00507C83">
        <w:t>, but</w:t>
      </w:r>
      <w:r w:rsidR="00C62EF6">
        <w:t xml:space="preserve"> greatly</w:t>
      </w:r>
      <w:r w:rsidR="0059068B">
        <w:t xml:space="preserve"> </w:t>
      </w:r>
      <w:r w:rsidR="0059068B" w:rsidRPr="00E64D5A">
        <w:t>under predicted</w:t>
      </w:r>
      <w:r w:rsidRPr="00E64D5A">
        <w:t xml:space="preserve"> </w:t>
      </w:r>
      <w:r w:rsidR="00507C83">
        <w:t>cultivated treatment</w:t>
      </w:r>
      <w:r w:rsidR="0059068B">
        <w:t>s</w:t>
      </w:r>
      <w:r w:rsidR="00C62EF6">
        <w:t xml:space="preserve"> (Figure 1)</w:t>
      </w:r>
      <w:r w:rsidRPr="00E64D5A">
        <w:t xml:space="preserve">. </w:t>
      </w:r>
      <w:r w:rsidR="006976AC" w:rsidRPr="00E64D5A">
        <w:t xml:space="preserve">Since iLime does not take </w:t>
      </w:r>
      <w:r w:rsidR="00507C83" w:rsidRPr="00E64D5A">
        <w:t xml:space="preserve">the cultivation </w:t>
      </w:r>
      <w:r w:rsidR="002D682E">
        <w:t>effects into account,</w:t>
      </w:r>
      <w:r w:rsidR="003D5A49">
        <w:t xml:space="preserve"> other than </w:t>
      </w:r>
      <w:r w:rsidR="002D682E">
        <w:t>those</w:t>
      </w:r>
      <w:r w:rsidR="003D5A49">
        <w:t xml:space="preserve"> attributed to a pH change</w:t>
      </w:r>
      <w:r w:rsidR="001767E7">
        <w:t>,</w:t>
      </w:r>
      <w:r w:rsidR="000D265F">
        <w:t xml:space="preserve"> benefits from</w:t>
      </w:r>
      <w:r w:rsidR="003D5A49">
        <w:t xml:space="preserve"> </w:t>
      </w:r>
      <w:r w:rsidR="002D682E">
        <w:t>mineralisation</w:t>
      </w:r>
      <w:r w:rsidR="003D5A49">
        <w:t xml:space="preserve"> </w:t>
      </w:r>
      <w:r w:rsidR="002D682E">
        <w:t>of</w:t>
      </w:r>
      <w:r w:rsidR="003D5A49">
        <w:t xml:space="preserve"> nitrogen</w:t>
      </w:r>
      <w:r w:rsidR="000D265F">
        <w:t>,</w:t>
      </w:r>
      <w:r w:rsidR="003D5A49">
        <w:t xml:space="preserve"> relief of any compaction</w:t>
      </w:r>
      <w:r w:rsidR="000D265F">
        <w:t xml:space="preserve"> and other factors are not considered. T</w:t>
      </w:r>
      <w:r w:rsidR="006976AC" w:rsidRPr="00E64D5A">
        <w:t xml:space="preserve">he </w:t>
      </w:r>
      <w:r w:rsidR="00507C83">
        <w:t>observed</w:t>
      </w:r>
      <w:r w:rsidR="002D682E">
        <w:t xml:space="preserve"> cultivated</w:t>
      </w:r>
      <w:r w:rsidR="00507C83">
        <w:t xml:space="preserve"> </w:t>
      </w:r>
      <w:r w:rsidR="006976AC" w:rsidRPr="00E64D5A">
        <w:t xml:space="preserve">yields were higher </w:t>
      </w:r>
      <w:r w:rsidR="00507C83">
        <w:t>than</w:t>
      </w:r>
      <w:r w:rsidR="006976AC" w:rsidRPr="00E64D5A">
        <w:t xml:space="preserve"> the iLime </w:t>
      </w:r>
      <w:r w:rsidR="000628D6" w:rsidRPr="00E64D5A">
        <w:t>predictions</w:t>
      </w:r>
      <w:r w:rsidR="006976AC" w:rsidRPr="00E64D5A">
        <w:t xml:space="preserve">. </w:t>
      </w:r>
    </w:p>
    <w:p w14:paraId="35820CBF" w14:textId="77777777" w:rsidR="001767E7" w:rsidRDefault="000A49EF" w:rsidP="001767E7">
      <w:pPr>
        <w:pStyle w:val="Heading3"/>
        <w:keepNext w:val="0"/>
        <w:keepLines w:val="0"/>
      </w:pPr>
      <w:r w:rsidRPr="006B7352">
        <w:t>iLime pH response</w:t>
      </w:r>
    </w:p>
    <w:p w14:paraId="592FD620" w14:textId="77777777" w:rsidR="000D265F" w:rsidRDefault="00507C83" w:rsidP="00DB6513">
      <w:r>
        <w:rPr>
          <w:noProof/>
          <w:lang w:eastAsia="en-AU"/>
        </w:rPr>
        <w:t>Topsoil and subsoil pH at this site</w:t>
      </w:r>
      <w:r w:rsidR="00C54FEC">
        <w:t xml:space="preserve"> </w:t>
      </w:r>
      <w:r w:rsidR="000C5158">
        <w:t xml:space="preserve">were both </w:t>
      </w:r>
      <w:r w:rsidR="00D13EAA">
        <w:t>below</w:t>
      </w:r>
      <w:r w:rsidR="000C5158">
        <w:t xml:space="preserve"> the recommended range. </w:t>
      </w:r>
      <w:proofErr w:type="spellStart"/>
      <w:r w:rsidR="00D50782" w:rsidRPr="00C54FEC">
        <w:t>iLime</w:t>
      </w:r>
      <w:proofErr w:type="spellEnd"/>
      <w:r w:rsidR="00D50782" w:rsidRPr="00C54FEC">
        <w:t xml:space="preserve"> </w:t>
      </w:r>
      <w:r w:rsidR="000C5158">
        <w:t xml:space="preserve">predicted a </w:t>
      </w:r>
      <w:r w:rsidR="00F54E5F">
        <w:br/>
      </w:r>
      <w:r>
        <w:t xml:space="preserve">pH </w:t>
      </w:r>
      <w:r w:rsidR="000C5158">
        <w:t>increase</w:t>
      </w:r>
      <w:r w:rsidR="00D50782" w:rsidRPr="00C54FEC">
        <w:t xml:space="preserve"> </w:t>
      </w:r>
      <w:r w:rsidR="00B422F1">
        <w:t xml:space="preserve">in the first year </w:t>
      </w:r>
      <w:r w:rsidR="00D50782" w:rsidRPr="00C54FEC">
        <w:t xml:space="preserve">for all lime </w:t>
      </w:r>
      <w:r w:rsidR="00B240E3">
        <w:t>treatments</w:t>
      </w:r>
      <w:r w:rsidR="00D50782" w:rsidRPr="00C54FEC">
        <w:t xml:space="preserve"> at both 0-10cm and 10-20cm.</w:t>
      </w:r>
      <w:r w:rsidR="000C5158">
        <w:t xml:space="preserve"> </w:t>
      </w:r>
      <w:r w:rsidR="00A205BB">
        <w:t>Th</w:t>
      </w:r>
      <w:r w:rsidR="00B422F1">
        <w:t>is</w:t>
      </w:r>
      <w:r w:rsidR="00A205BB">
        <w:t xml:space="preserve"> </w:t>
      </w:r>
      <w:r w:rsidR="007460A3">
        <w:t>effect</w:t>
      </w:r>
      <w:r w:rsidR="00A205BB">
        <w:t xml:space="preserve"> </w:t>
      </w:r>
      <w:r w:rsidR="00F54E5F">
        <w:t xml:space="preserve">was predicted to </w:t>
      </w:r>
      <w:r w:rsidR="00A205BB">
        <w:t>decrease over time</w:t>
      </w:r>
      <w:r w:rsidR="000D265F">
        <w:t>. The</w:t>
      </w:r>
      <w:r w:rsidR="000C5158">
        <w:t xml:space="preserve"> </w:t>
      </w:r>
      <w:r w:rsidR="00A205BB">
        <w:t>0-10cm</w:t>
      </w:r>
      <w:r w:rsidR="000C5158">
        <w:t xml:space="preserve"> pH </w:t>
      </w:r>
      <w:r w:rsidR="007460A3">
        <w:t xml:space="preserve">remained within or well above the recommend range </w:t>
      </w:r>
      <w:r w:rsidR="000C5158">
        <w:t xml:space="preserve">for </w:t>
      </w:r>
      <w:r w:rsidR="00A205BB">
        <w:t>medium and high lime rates</w:t>
      </w:r>
      <w:r w:rsidR="000C5158">
        <w:t xml:space="preserve"> </w:t>
      </w:r>
      <w:r w:rsidR="007460A3">
        <w:t xml:space="preserve">in the majority of cases for </w:t>
      </w:r>
      <w:r w:rsidR="002D682E">
        <w:t xml:space="preserve">the </w:t>
      </w:r>
      <w:r w:rsidR="007460A3">
        <w:t xml:space="preserve">20 </w:t>
      </w:r>
      <w:r w:rsidR="002771A9">
        <w:t xml:space="preserve">years </w:t>
      </w:r>
      <w:r w:rsidR="00B240E3">
        <w:t>(</w:t>
      </w:r>
      <w:r w:rsidR="009111CC">
        <w:t xml:space="preserve">medium rates </w:t>
      </w:r>
      <w:r w:rsidR="00B240E3">
        <w:t xml:space="preserve">Figure </w:t>
      </w:r>
      <w:r w:rsidR="0031755D">
        <w:t>2</w:t>
      </w:r>
      <w:r w:rsidR="00B240E3">
        <w:t xml:space="preserve">, </w:t>
      </w:r>
      <w:r w:rsidR="00712E47">
        <w:t>other</w:t>
      </w:r>
      <w:r w:rsidR="00B240E3">
        <w:t xml:space="preserve"> data not shown)</w:t>
      </w:r>
      <w:r w:rsidR="000C5158">
        <w:t>.</w:t>
      </w:r>
      <w:r w:rsidR="00F64D0E" w:rsidRPr="00C54FEC">
        <w:t xml:space="preserve"> </w:t>
      </w:r>
      <w:r w:rsidR="007460A3">
        <w:t xml:space="preserve">At </w:t>
      </w:r>
      <w:r w:rsidR="00B240E3">
        <w:t>10-20cm</w:t>
      </w:r>
      <w:r w:rsidR="000C5158">
        <w:t xml:space="preserve"> pH </w:t>
      </w:r>
      <w:r w:rsidR="007460A3">
        <w:t>increased to within the recommended range</w:t>
      </w:r>
      <w:r w:rsidR="00B240E3">
        <w:t xml:space="preserve"> for medium and high rates </w:t>
      </w:r>
      <w:r w:rsidR="007460A3">
        <w:t>when cultivated</w:t>
      </w:r>
      <w:r w:rsidR="007460A3" w:rsidRPr="007460A3">
        <w:t xml:space="preserve"> </w:t>
      </w:r>
      <w:r w:rsidR="007460A3">
        <w:t>(</w:t>
      </w:r>
      <w:r w:rsidR="009111CC">
        <w:t>medium</w:t>
      </w:r>
      <w:r w:rsidR="00712E47">
        <w:t xml:space="preserve"> rate</w:t>
      </w:r>
      <w:r w:rsidR="00422961">
        <w:t>s</w:t>
      </w:r>
      <w:r w:rsidR="007460A3">
        <w:t xml:space="preserve"> Figure 3, </w:t>
      </w:r>
      <w:r w:rsidR="00712E47">
        <w:t xml:space="preserve">other </w:t>
      </w:r>
      <w:r w:rsidR="007460A3">
        <w:t>data not shown)</w:t>
      </w:r>
      <w:r w:rsidR="000D265F">
        <w:t>. T</w:t>
      </w:r>
      <w:r w:rsidR="00B240E3">
        <w:t>here was a time lag</w:t>
      </w:r>
      <w:r w:rsidR="000D265F">
        <w:t xml:space="preserve"> over the 20 years for</w:t>
      </w:r>
      <w:r w:rsidR="00B240E3">
        <w:t xml:space="preserve"> pH increase for </w:t>
      </w:r>
      <w:r w:rsidR="007460A3">
        <w:t>un</w:t>
      </w:r>
      <w:r w:rsidR="00B240E3">
        <w:t>cultivated treatments</w:t>
      </w:r>
      <w:r w:rsidR="00EE6B04">
        <w:t xml:space="preserve">, the treatments </w:t>
      </w:r>
      <w:r w:rsidR="00404AD1">
        <w:t xml:space="preserve">did not </w:t>
      </w:r>
      <w:r w:rsidR="00EE6B04">
        <w:t xml:space="preserve">reach the recommended pH of 4.8 until </w:t>
      </w:r>
      <w:r w:rsidR="00404AD1">
        <w:t xml:space="preserve">after </w:t>
      </w:r>
      <w:r w:rsidR="00EE6B04">
        <w:t>year 10</w:t>
      </w:r>
      <w:r w:rsidR="00DB6513">
        <w:t xml:space="preserve"> (Figure 3)</w:t>
      </w:r>
      <w:r w:rsidR="000C5158">
        <w:t>.</w:t>
      </w:r>
      <w:r w:rsidR="00BD01E4">
        <w:t xml:space="preserve"> </w:t>
      </w:r>
      <w:r w:rsidR="00DB6513">
        <w:t>The application of the medium and high treatments meant there was no requirement for additional lime within the 20 year simulation.</w:t>
      </w:r>
    </w:p>
    <w:p w14:paraId="1B366231" w14:textId="77777777" w:rsidR="0031755D" w:rsidRDefault="007460A3" w:rsidP="002D682E">
      <w:r>
        <w:t>L</w:t>
      </w:r>
      <w:r w:rsidR="00B240E3">
        <w:t xml:space="preserve">ow rates </w:t>
      </w:r>
      <w:r>
        <w:t xml:space="preserve">of </w:t>
      </w:r>
      <w:r w:rsidR="0011764E">
        <w:t>lime applied</w:t>
      </w:r>
      <w:r w:rsidR="001C6081">
        <w:t xml:space="preserve"> </w:t>
      </w:r>
      <w:r w:rsidR="00882424">
        <w:t>without cultivation</w:t>
      </w:r>
      <w:r w:rsidR="00712E47">
        <w:t xml:space="preserve">, such as the dolerite </w:t>
      </w:r>
      <w:r w:rsidR="00404AD1">
        <w:t>@</w:t>
      </w:r>
      <w:r w:rsidR="00712E47">
        <w:t>7.35t/ha</w:t>
      </w:r>
      <w:r>
        <w:t xml:space="preserve"> brought</w:t>
      </w:r>
      <w:r w:rsidR="00B240E3">
        <w:t xml:space="preserve"> pH</w:t>
      </w:r>
      <w:r w:rsidR="00593FE5">
        <w:t xml:space="preserve"> to 5.58 in the</w:t>
      </w:r>
      <w:r w:rsidR="00B240E3">
        <w:t xml:space="preserve"> 0-10cm, however it </w:t>
      </w:r>
      <w:r w:rsidR="00593FE5">
        <w:t>only increased the subsoil to a pH of 4.25</w:t>
      </w:r>
      <w:r w:rsidR="00B240E3">
        <w:t xml:space="preserve">. </w:t>
      </w:r>
      <w:r w:rsidR="009111CC">
        <w:t xml:space="preserve">When low rates were cultivated the </w:t>
      </w:r>
      <w:r w:rsidR="00550BD7">
        <w:t>pH did not quite reach the recommended range at either</w:t>
      </w:r>
      <w:r w:rsidR="009111CC">
        <w:t xml:space="preserve"> 0-10cm or 10-20cm</w:t>
      </w:r>
      <w:r w:rsidR="00350618">
        <w:t xml:space="preserve">, with </w:t>
      </w:r>
      <w:r w:rsidR="00404AD1">
        <w:t xml:space="preserve">pH in </w:t>
      </w:r>
      <w:r w:rsidR="00350618">
        <w:t>the cultivated</w:t>
      </w:r>
      <w:r w:rsidR="00593FE5">
        <w:t xml:space="preserve"> sources</w:t>
      </w:r>
      <w:r w:rsidR="00350618">
        <w:t xml:space="preserve"> ranging from 4.98 to 4.87</w:t>
      </w:r>
      <w:r w:rsidR="00593FE5">
        <w:t xml:space="preserve"> in the topsoil and 4.75 to 4.65 in the </w:t>
      </w:r>
      <w:r w:rsidR="00593FE5" w:rsidRPr="00593FE5">
        <w:t>subsoil</w:t>
      </w:r>
      <w:r w:rsidR="00550BD7" w:rsidRPr="00593FE5">
        <w:t xml:space="preserve"> </w:t>
      </w:r>
      <w:r w:rsidR="00B240E3" w:rsidRPr="00593FE5">
        <w:t>(data not shown).</w:t>
      </w:r>
    </w:p>
    <w:p w14:paraId="1061C01B" w14:textId="77777777" w:rsidR="009030A8" w:rsidRDefault="00350618" w:rsidP="002D682E">
      <w:r>
        <w:rPr>
          <w:noProof/>
          <w:lang w:eastAsia="en-AU"/>
        </w:rPr>
        <w:drawing>
          <wp:anchor distT="0" distB="0" distL="114300" distR="114300" simplePos="0" relativeHeight="251703296" behindDoc="0" locked="0" layoutInCell="1" allowOverlap="1" wp14:anchorId="54774389" wp14:editId="7E66CE4C">
            <wp:simplePos x="0" y="0"/>
            <wp:positionH relativeFrom="margin">
              <wp:posOffset>-215900</wp:posOffset>
            </wp:positionH>
            <wp:positionV relativeFrom="paragraph">
              <wp:posOffset>1028487</wp:posOffset>
            </wp:positionV>
            <wp:extent cx="6188400" cy="2430000"/>
            <wp:effectExtent l="0" t="0" r="3175" b="889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111CC">
        <w:t xml:space="preserve">Due to the composition of the on-farm sources, </w:t>
      </w:r>
      <w:proofErr w:type="spellStart"/>
      <w:r w:rsidR="009111CC">
        <w:t>iLime</w:t>
      </w:r>
      <w:proofErr w:type="spellEnd"/>
      <w:r w:rsidR="009111CC">
        <w:t xml:space="preserve"> </w:t>
      </w:r>
      <w:r w:rsidR="00404AD1">
        <w:t xml:space="preserve">could </w:t>
      </w:r>
      <w:r w:rsidR="009111CC">
        <w:t xml:space="preserve">over value the course particles </w:t>
      </w:r>
      <w:r w:rsidR="000D265F">
        <w:t>(&gt;2mm)</w:t>
      </w:r>
      <w:r w:rsidR="00404AD1">
        <w:t>,</w:t>
      </w:r>
      <w:r w:rsidR="000D265F">
        <w:t xml:space="preserve"> </w:t>
      </w:r>
      <w:r w:rsidR="009111CC">
        <w:t>which are</w:t>
      </w:r>
      <w:r w:rsidR="00DB6513">
        <w:t xml:space="preserve"> relatively </w:t>
      </w:r>
      <w:r w:rsidR="009111CC">
        <w:t xml:space="preserve">ineffective </w:t>
      </w:r>
      <w:r w:rsidR="00404AD1">
        <w:t xml:space="preserve">at </w:t>
      </w:r>
      <w:r w:rsidR="009111CC">
        <w:t xml:space="preserve">reacting with </w:t>
      </w:r>
      <w:r w:rsidR="00DB6513">
        <w:t xml:space="preserve">soil </w:t>
      </w:r>
      <w:r w:rsidR="009111CC">
        <w:t>acidity</w:t>
      </w:r>
      <w:r w:rsidR="009030A8">
        <w:t xml:space="preserve"> </w:t>
      </w:r>
      <w:r w:rsidR="00404AD1">
        <w:t xml:space="preserve">but are valued </w:t>
      </w:r>
      <w:r w:rsidR="000D265F">
        <w:t>as if they were 1mm. T</w:t>
      </w:r>
      <w:r w:rsidR="009111CC">
        <w:t xml:space="preserve">his </w:t>
      </w:r>
      <w:r w:rsidR="00404AD1">
        <w:t xml:space="preserve">could </w:t>
      </w:r>
      <w:r w:rsidR="000D265F">
        <w:t>have resulted in the</w:t>
      </w:r>
      <w:r w:rsidR="009111CC">
        <w:t xml:space="preserve"> depositional </w:t>
      </w:r>
      <w:proofErr w:type="spellStart"/>
      <w:r w:rsidR="000D265F">
        <w:t>morrel</w:t>
      </w:r>
      <w:proofErr w:type="spellEnd"/>
      <w:r w:rsidR="000D265F">
        <w:t xml:space="preserve"> </w:t>
      </w:r>
      <w:r w:rsidR="009111CC">
        <w:t xml:space="preserve">source being overestimated </w:t>
      </w:r>
      <w:r w:rsidR="00DB6513">
        <w:t xml:space="preserve">in iLime calculations </w:t>
      </w:r>
      <w:r w:rsidR="009111CC">
        <w:t>as it co</w:t>
      </w:r>
      <w:r w:rsidR="006200C3">
        <w:t>ntains a large proportion of coa</w:t>
      </w:r>
      <w:r w:rsidR="009111CC">
        <w:t>rse</w:t>
      </w:r>
      <w:r w:rsidR="00B422F1">
        <w:t xml:space="preserve"> and</w:t>
      </w:r>
      <w:r w:rsidR="009111CC">
        <w:t xml:space="preserve"> high</w:t>
      </w:r>
      <w:r w:rsidR="00B422F1">
        <w:t>-</w:t>
      </w:r>
      <w:r w:rsidR="009111CC">
        <w:t>NV particles</w:t>
      </w:r>
      <w:r w:rsidR="009030A8">
        <w:t xml:space="preserve"> (Table 3a)</w:t>
      </w:r>
      <w:r w:rsidR="009111CC">
        <w:t xml:space="preserve">. </w:t>
      </w:r>
      <w:r w:rsidR="00B422F1">
        <w:t>pH results</w:t>
      </w:r>
      <w:r w:rsidR="00404AD1">
        <w:t xml:space="preserve"> </w:t>
      </w:r>
      <w:r w:rsidR="00B422F1">
        <w:t>for</w:t>
      </w:r>
      <w:r w:rsidR="00404AD1">
        <w:t xml:space="preserve"> the trials</w:t>
      </w:r>
      <w:r w:rsidR="00382D55" w:rsidRPr="00C54FEC">
        <w:t xml:space="preserve"> </w:t>
      </w:r>
      <w:r w:rsidR="003C532C">
        <w:t xml:space="preserve">are not </w:t>
      </w:r>
      <w:r w:rsidR="00404AD1">
        <w:t xml:space="preserve">currently </w:t>
      </w:r>
      <w:r w:rsidR="003C532C">
        <w:t xml:space="preserve">available to compare with iLime </w:t>
      </w:r>
      <w:proofErr w:type="gramStart"/>
      <w:r w:rsidR="003C532C">
        <w:t>predictions, but</w:t>
      </w:r>
      <w:proofErr w:type="gramEnd"/>
      <w:r w:rsidR="003C532C">
        <w:t xml:space="preserve"> will be</w:t>
      </w:r>
      <w:r w:rsidR="009111CC">
        <w:t xml:space="preserve"> intensively</w:t>
      </w:r>
      <w:r w:rsidR="003C532C">
        <w:t xml:space="preserve"> measured </w:t>
      </w:r>
      <w:r w:rsidR="00404AD1">
        <w:t>before</w:t>
      </w:r>
      <w:r w:rsidR="003C532C">
        <w:t xml:space="preserve"> seeding in 2020.</w:t>
      </w:r>
      <w:r w:rsidR="00063499" w:rsidRPr="00E64D5A">
        <w:t xml:space="preserve"> </w:t>
      </w:r>
    </w:p>
    <w:p w14:paraId="1113782B" w14:textId="77777777" w:rsidR="00350618" w:rsidRDefault="00350618" w:rsidP="002D682E"/>
    <w:p w14:paraId="32F5D17A" w14:textId="77777777" w:rsidR="00ED2335" w:rsidRPr="0084494D" w:rsidRDefault="002D682E" w:rsidP="002D682E">
      <w:pPr>
        <w:rPr>
          <w:b/>
          <w:sz w:val="22"/>
        </w:rPr>
      </w:pPr>
      <w:r w:rsidRPr="0084494D">
        <w:rPr>
          <w:b/>
          <w:sz w:val="22"/>
        </w:rPr>
        <w:t>Figure 2</w:t>
      </w:r>
      <w:r w:rsidR="00404AD1" w:rsidRPr="0084494D">
        <w:rPr>
          <w:b/>
          <w:sz w:val="22"/>
        </w:rPr>
        <w:t>.</w:t>
      </w:r>
      <w:r w:rsidRPr="0084494D">
        <w:rPr>
          <w:b/>
          <w:sz w:val="22"/>
        </w:rPr>
        <w:t xml:space="preserve"> </w:t>
      </w:r>
      <w:proofErr w:type="spellStart"/>
      <w:r w:rsidRPr="0084494D">
        <w:rPr>
          <w:b/>
          <w:sz w:val="22"/>
        </w:rPr>
        <w:t>iLime</w:t>
      </w:r>
      <w:proofErr w:type="spellEnd"/>
      <w:r w:rsidRPr="0084494D">
        <w:rPr>
          <w:b/>
          <w:sz w:val="22"/>
        </w:rPr>
        <w:t xml:space="preserve"> </w:t>
      </w:r>
      <w:r w:rsidR="00404AD1">
        <w:rPr>
          <w:b/>
          <w:sz w:val="22"/>
        </w:rPr>
        <w:t xml:space="preserve">predicted </w:t>
      </w:r>
      <w:r w:rsidRPr="0084494D">
        <w:rPr>
          <w:b/>
          <w:sz w:val="22"/>
        </w:rPr>
        <w:t xml:space="preserve">pH </w:t>
      </w:r>
      <w:r w:rsidR="00404AD1">
        <w:rPr>
          <w:b/>
          <w:sz w:val="22"/>
        </w:rPr>
        <w:t>(</w:t>
      </w:r>
      <w:r w:rsidRPr="0084494D">
        <w:rPr>
          <w:b/>
          <w:sz w:val="22"/>
        </w:rPr>
        <w:t>0-10cm</w:t>
      </w:r>
      <w:r w:rsidR="00404AD1">
        <w:rPr>
          <w:b/>
          <w:sz w:val="22"/>
        </w:rPr>
        <w:t>)</w:t>
      </w:r>
      <w:r w:rsidRPr="0084494D">
        <w:rPr>
          <w:b/>
          <w:sz w:val="22"/>
        </w:rPr>
        <w:t xml:space="preserve"> change </w:t>
      </w:r>
      <w:r w:rsidR="00404AD1">
        <w:rPr>
          <w:b/>
          <w:sz w:val="22"/>
        </w:rPr>
        <w:t>over</w:t>
      </w:r>
      <w:r w:rsidRPr="0084494D">
        <w:rPr>
          <w:b/>
          <w:sz w:val="22"/>
        </w:rPr>
        <w:t xml:space="preserve"> 20 years for medium rates of all lime sources both incorporated and unincorporated (4t/ha limesand, 14.7t/ha local dolerite, 8.6t/ha local depositional</w:t>
      </w:r>
      <w:r w:rsidR="009D5DB6" w:rsidRPr="0084494D">
        <w:rPr>
          <w:b/>
          <w:sz w:val="22"/>
        </w:rPr>
        <w:t xml:space="preserve"> </w:t>
      </w:r>
      <w:proofErr w:type="spellStart"/>
      <w:r w:rsidR="009D5DB6" w:rsidRPr="0084494D">
        <w:rPr>
          <w:b/>
          <w:sz w:val="22"/>
        </w:rPr>
        <w:t>morrel</w:t>
      </w:r>
      <w:proofErr w:type="spellEnd"/>
      <w:r w:rsidRPr="0084494D">
        <w:rPr>
          <w:b/>
          <w:sz w:val="22"/>
        </w:rPr>
        <w:t>.)</w:t>
      </w:r>
    </w:p>
    <w:p w14:paraId="1B721694" w14:textId="77777777" w:rsidR="00ED2335" w:rsidRPr="00D86C8A" w:rsidRDefault="00350618" w:rsidP="00ED2335">
      <w:pPr>
        <w:pStyle w:val="Caption"/>
        <w:rPr>
          <w:b/>
          <w:noProof/>
          <w:sz w:val="22"/>
          <w:szCs w:val="22"/>
        </w:rPr>
      </w:pPr>
      <w:r w:rsidRPr="00D86C8A">
        <w:rPr>
          <w:b/>
          <w:noProof/>
          <w:sz w:val="22"/>
          <w:szCs w:val="22"/>
          <w:lang w:eastAsia="en-AU"/>
        </w:rPr>
        <w:lastRenderedPageBreak/>
        <w:drawing>
          <wp:anchor distT="0" distB="0" distL="114300" distR="114300" simplePos="0" relativeHeight="251704320" behindDoc="0" locked="0" layoutInCell="1" allowOverlap="1" wp14:anchorId="490534F1" wp14:editId="67CCDACA">
            <wp:simplePos x="0" y="0"/>
            <wp:positionH relativeFrom="margin">
              <wp:align>center</wp:align>
            </wp:positionH>
            <wp:positionV relativeFrom="paragraph">
              <wp:posOffset>161</wp:posOffset>
            </wp:positionV>
            <wp:extent cx="6188400" cy="2430000"/>
            <wp:effectExtent l="0" t="0" r="3175" b="889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D2335" w:rsidRPr="00D86C8A">
        <w:rPr>
          <w:b/>
          <w:sz w:val="22"/>
          <w:szCs w:val="22"/>
        </w:rPr>
        <w:t xml:space="preserve">Figure </w:t>
      </w:r>
      <w:r w:rsidR="00E75BA5" w:rsidRPr="00D86C8A">
        <w:rPr>
          <w:b/>
          <w:sz w:val="22"/>
          <w:szCs w:val="22"/>
        </w:rPr>
        <w:t>3</w:t>
      </w:r>
      <w:r w:rsidR="00404AD1" w:rsidRPr="00D86C8A">
        <w:rPr>
          <w:b/>
          <w:sz w:val="22"/>
          <w:szCs w:val="22"/>
        </w:rPr>
        <w:t>.</w:t>
      </w:r>
      <w:r w:rsidR="00ED2335" w:rsidRPr="00D86C8A">
        <w:rPr>
          <w:b/>
          <w:sz w:val="22"/>
          <w:szCs w:val="22"/>
        </w:rPr>
        <w:t xml:space="preserve"> </w:t>
      </w:r>
      <w:proofErr w:type="spellStart"/>
      <w:r w:rsidR="009111CC" w:rsidRPr="00D86C8A">
        <w:rPr>
          <w:b/>
          <w:sz w:val="22"/>
          <w:szCs w:val="22"/>
        </w:rPr>
        <w:t>iLime</w:t>
      </w:r>
      <w:proofErr w:type="spellEnd"/>
      <w:r w:rsidR="009111CC" w:rsidRPr="00D86C8A">
        <w:rPr>
          <w:b/>
          <w:sz w:val="22"/>
          <w:szCs w:val="22"/>
        </w:rPr>
        <w:t xml:space="preserve"> </w:t>
      </w:r>
      <w:r w:rsidR="00404AD1" w:rsidRPr="00D86C8A">
        <w:rPr>
          <w:b/>
          <w:sz w:val="22"/>
          <w:szCs w:val="22"/>
        </w:rPr>
        <w:t xml:space="preserve">predicted </w:t>
      </w:r>
      <w:r w:rsidR="009111CC" w:rsidRPr="00D86C8A">
        <w:rPr>
          <w:b/>
          <w:sz w:val="22"/>
          <w:szCs w:val="22"/>
        </w:rPr>
        <w:t xml:space="preserve">pH </w:t>
      </w:r>
      <w:r w:rsidR="00404AD1" w:rsidRPr="00D86C8A">
        <w:rPr>
          <w:b/>
          <w:sz w:val="22"/>
          <w:szCs w:val="22"/>
        </w:rPr>
        <w:t>(</w:t>
      </w:r>
      <w:r w:rsidR="009111CC" w:rsidRPr="00D86C8A">
        <w:rPr>
          <w:b/>
          <w:sz w:val="22"/>
          <w:szCs w:val="22"/>
        </w:rPr>
        <w:t>10-20cm</w:t>
      </w:r>
      <w:r w:rsidR="00404AD1" w:rsidRPr="00D86C8A">
        <w:rPr>
          <w:b/>
          <w:sz w:val="22"/>
          <w:szCs w:val="22"/>
        </w:rPr>
        <w:t>)</w:t>
      </w:r>
      <w:r w:rsidR="009111CC" w:rsidRPr="00D86C8A">
        <w:rPr>
          <w:b/>
          <w:sz w:val="22"/>
          <w:szCs w:val="22"/>
        </w:rPr>
        <w:t xml:space="preserve"> change </w:t>
      </w:r>
      <w:r w:rsidR="00404AD1" w:rsidRPr="00D86C8A">
        <w:rPr>
          <w:b/>
          <w:sz w:val="22"/>
          <w:szCs w:val="22"/>
        </w:rPr>
        <w:t>over</w:t>
      </w:r>
      <w:r w:rsidR="009111CC" w:rsidRPr="00D86C8A">
        <w:rPr>
          <w:b/>
          <w:sz w:val="22"/>
          <w:szCs w:val="22"/>
        </w:rPr>
        <w:t xml:space="preserve"> 20 years for medium rates of all lime sources both incorporated and unincorporated (4t/ha limesand, 14.7t/ha local dolerite, 8.6t/ha local depositional</w:t>
      </w:r>
      <w:r w:rsidR="009D5DB6" w:rsidRPr="00D86C8A">
        <w:rPr>
          <w:b/>
          <w:sz w:val="22"/>
          <w:szCs w:val="22"/>
        </w:rPr>
        <w:t xml:space="preserve"> </w:t>
      </w:r>
      <w:proofErr w:type="spellStart"/>
      <w:r w:rsidR="009D5DB6" w:rsidRPr="00D86C8A">
        <w:rPr>
          <w:b/>
          <w:sz w:val="22"/>
          <w:szCs w:val="22"/>
        </w:rPr>
        <w:t>morrel</w:t>
      </w:r>
      <w:proofErr w:type="spellEnd"/>
      <w:r w:rsidR="009111CC" w:rsidRPr="00D86C8A">
        <w:rPr>
          <w:b/>
          <w:sz w:val="22"/>
          <w:szCs w:val="22"/>
        </w:rPr>
        <w:t>).</w:t>
      </w:r>
    </w:p>
    <w:p w14:paraId="02D8FCC4" w14:textId="77777777" w:rsidR="000A49EF" w:rsidRPr="00E64D5A" w:rsidRDefault="000A49EF" w:rsidP="0031755D">
      <w:pPr>
        <w:pStyle w:val="Heading3"/>
        <w:keepNext w:val="0"/>
      </w:pPr>
      <w:r w:rsidRPr="00E64D5A">
        <w:t>iLime economic response</w:t>
      </w:r>
    </w:p>
    <w:p w14:paraId="5965AC3D" w14:textId="77777777" w:rsidR="000D265F" w:rsidRDefault="00C71462" w:rsidP="00ED2335">
      <w:r>
        <w:t>C</w:t>
      </w:r>
      <w:r w:rsidR="00404AD1">
        <w:t>ompared to uncultivated treatments, c</w:t>
      </w:r>
      <w:r>
        <w:t>ultivated treatments</w:t>
      </w:r>
      <w:r w:rsidR="000D265F">
        <w:t xml:space="preserve"> of the same rates</w:t>
      </w:r>
      <w:r>
        <w:t xml:space="preserve"> consistently </w:t>
      </w:r>
      <w:r w:rsidR="00404AD1">
        <w:t xml:space="preserve">delivered </w:t>
      </w:r>
      <w:r>
        <w:t xml:space="preserve">higher return on investments (ROI) within </w:t>
      </w:r>
      <w:r w:rsidR="00404AD1">
        <w:t xml:space="preserve">five </w:t>
      </w:r>
      <w:r>
        <w:t xml:space="preserve">years, and overall higher net present values (NPV) </w:t>
      </w:r>
      <w:r w:rsidR="00404AD1">
        <w:t xml:space="preserve">over </w:t>
      </w:r>
      <w:r>
        <w:t>a 20</w:t>
      </w:r>
      <w:r w:rsidR="00404AD1">
        <w:t>-</w:t>
      </w:r>
      <w:r>
        <w:t xml:space="preserve">year simulation. The medium rate of </w:t>
      </w:r>
      <w:r w:rsidR="00011A53">
        <w:t xml:space="preserve">the </w:t>
      </w:r>
      <w:r>
        <w:t>depositional</w:t>
      </w:r>
      <w:r w:rsidR="000D265F">
        <w:t xml:space="preserve"> </w:t>
      </w:r>
      <w:proofErr w:type="spellStart"/>
      <w:r w:rsidR="000D265F">
        <w:t>morrel</w:t>
      </w:r>
      <w:proofErr w:type="spellEnd"/>
      <w:r w:rsidR="000D265F">
        <w:t xml:space="preserve"> source</w:t>
      </w:r>
      <w:r>
        <w:t xml:space="preserve"> had the highest NPV followed by limesand</w:t>
      </w:r>
      <w:r w:rsidR="000D265F">
        <w:t xml:space="preserve"> at 4t/ha</w:t>
      </w:r>
      <w:r>
        <w:t xml:space="preserve"> (Table 4). </w:t>
      </w:r>
      <w:r w:rsidR="000D265F">
        <w:t>Both these rates brought the pH of 0-10 and 10-20</w:t>
      </w:r>
      <w:r w:rsidR="00404AD1">
        <w:t>cm</w:t>
      </w:r>
      <w:r w:rsidR="000D265F">
        <w:t xml:space="preserve"> into the recommended range (Figures 2 and 3). </w:t>
      </w:r>
    </w:p>
    <w:p w14:paraId="2C8D937B" w14:textId="77777777" w:rsidR="000D265F" w:rsidRDefault="00C71462" w:rsidP="00ED2335">
      <w:r>
        <w:t>The cultivated dolerite at the low rate (7.35t/ha) and</w:t>
      </w:r>
      <w:r w:rsidR="000D265F">
        <w:t xml:space="preserve"> at</w:t>
      </w:r>
      <w:r>
        <w:t xml:space="preserve"> the calculated 4t/ha limesand equivalent rate </w:t>
      </w:r>
      <w:r w:rsidR="00DB6513">
        <w:t>of</w:t>
      </w:r>
      <w:r w:rsidR="006F33B3">
        <w:t xml:space="preserve"> </w:t>
      </w:r>
      <w:r>
        <w:t>8.76t/ha</w:t>
      </w:r>
      <w:r w:rsidR="006F33B3">
        <w:t xml:space="preserve"> </w:t>
      </w:r>
      <w:r w:rsidR="00DB6513">
        <w:t>(NSW calculator)</w:t>
      </w:r>
      <w:r w:rsidR="00011A53">
        <w:t>,</w:t>
      </w:r>
      <w:r>
        <w:t xml:space="preserve"> were both reasonably competitive with</w:t>
      </w:r>
      <w:r w:rsidR="00DB6513">
        <w:t xml:space="preserve"> 4t/ha</w:t>
      </w:r>
      <w:r>
        <w:t xml:space="preserve"> limesand, and both </w:t>
      </w:r>
      <w:r w:rsidR="00011A53">
        <w:t xml:space="preserve">had higher ROI at </w:t>
      </w:r>
      <w:r w:rsidR="00404AD1">
        <w:t xml:space="preserve">five </w:t>
      </w:r>
      <w:r w:rsidR="00011A53">
        <w:t>and 10 years and NPV at 20 years,</w:t>
      </w:r>
      <w:r>
        <w:t xml:space="preserve"> than the medium rate of dolerite (14.7t/ha)</w:t>
      </w:r>
      <w:r w:rsidR="006200C3">
        <w:t xml:space="preserve"> (Table 4)</w:t>
      </w:r>
      <w:r>
        <w:t xml:space="preserve">, even though they were simulated to have a lower pH increase. </w:t>
      </w:r>
    </w:p>
    <w:tbl>
      <w:tblPr>
        <w:tblStyle w:val="TableGrid"/>
        <w:tblpPr w:leftFromText="180" w:rightFromText="180" w:vertAnchor="text" w:horzAnchor="margin" w:tblpY="515"/>
        <w:tblW w:w="9060" w:type="dxa"/>
        <w:tblLayout w:type="fixed"/>
        <w:tblLook w:val="04A0" w:firstRow="1" w:lastRow="0" w:firstColumn="1" w:lastColumn="0" w:noHBand="0" w:noVBand="1"/>
      </w:tblPr>
      <w:tblGrid>
        <w:gridCol w:w="3256"/>
        <w:gridCol w:w="1451"/>
        <w:gridCol w:w="1451"/>
        <w:gridCol w:w="1451"/>
        <w:gridCol w:w="1451"/>
      </w:tblGrid>
      <w:tr w:rsidR="006200C3" w:rsidRPr="00EE683A" w14:paraId="08425C88" w14:textId="77777777" w:rsidTr="006200C3">
        <w:trPr>
          <w:cnfStyle w:val="100000000000" w:firstRow="1" w:lastRow="0" w:firstColumn="0" w:lastColumn="0" w:oddVBand="0" w:evenVBand="0" w:oddHBand="0" w:evenHBand="0" w:firstRowFirstColumn="0" w:firstRowLastColumn="0" w:lastRowFirstColumn="0" w:lastRowLastColumn="0"/>
          <w:trHeight w:val="300"/>
        </w:trPr>
        <w:tc>
          <w:tcPr>
            <w:tcW w:w="3256" w:type="dxa"/>
            <w:noWrap/>
            <w:hideMark/>
          </w:tcPr>
          <w:p w14:paraId="4E5F8EB4" w14:textId="77777777" w:rsidR="006200C3" w:rsidRPr="00EE683A" w:rsidRDefault="006200C3" w:rsidP="006200C3">
            <w:pPr>
              <w:spacing w:after="0"/>
              <w:rPr>
                <w:rFonts w:eastAsia="Times New Roman" w:cs="Arial"/>
                <w:sz w:val="18"/>
                <w:szCs w:val="18"/>
                <w:lang w:eastAsia="en-AU"/>
              </w:rPr>
            </w:pPr>
          </w:p>
        </w:tc>
        <w:tc>
          <w:tcPr>
            <w:tcW w:w="1451" w:type="dxa"/>
            <w:noWrap/>
            <w:hideMark/>
          </w:tcPr>
          <w:p w14:paraId="42F271FF"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 xml:space="preserve">ROI </w:t>
            </w:r>
          </w:p>
          <w:p w14:paraId="6A0C1EF9"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(5 years)</w:t>
            </w:r>
          </w:p>
        </w:tc>
        <w:tc>
          <w:tcPr>
            <w:tcW w:w="1451" w:type="dxa"/>
            <w:noWrap/>
            <w:hideMark/>
          </w:tcPr>
          <w:p w14:paraId="6E0D2067"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 xml:space="preserve">ROI </w:t>
            </w:r>
          </w:p>
          <w:p w14:paraId="08A1097B"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(10 years)</w:t>
            </w:r>
          </w:p>
        </w:tc>
        <w:tc>
          <w:tcPr>
            <w:tcW w:w="1451" w:type="dxa"/>
            <w:noWrap/>
            <w:hideMark/>
          </w:tcPr>
          <w:p w14:paraId="24F5631D"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 xml:space="preserve">NPV $/ha </w:t>
            </w:r>
          </w:p>
          <w:p w14:paraId="74E8288C"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(20 years)</w:t>
            </w:r>
          </w:p>
        </w:tc>
        <w:tc>
          <w:tcPr>
            <w:tcW w:w="1451" w:type="dxa"/>
            <w:noWrap/>
            <w:hideMark/>
          </w:tcPr>
          <w:p w14:paraId="09687AF9"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Average $/ha/year</w:t>
            </w:r>
          </w:p>
        </w:tc>
      </w:tr>
      <w:tr w:rsidR="006200C3" w:rsidRPr="00EE683A" w14:paraId="3A024438" w14:textId="77777777" w:rsidTr="006200C3">
        <w:trPr>
          <w:trHeight w:val="300"/>
        </w:trPr>
        <w:tc>
          <w:tcPr>
            <w:tcW w:w="3256" w:type="dxa"/>
            <w:noWrap/>
            <w:hideMark/>
          </w:tcPr>
          <w:p w14:paraId="74E4781D"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 xml:space="preserve">Depositional </w:t>
            </w:r>
            <w:proofErr w:type="spellStart"/>
            <w:r w:rsidRPr="00EE683A">
              <w:rPr>
                <w:rFonts w:eastAsia="Times New Roman" w:cs="Arial"/>
                <w:sz w:val="18"/>
                <w:szCs w:val="18"/>
                <w:lang w:eastAsia="en-AU"/>
              </w:rPr>
              <w:t>morrel</w:t>
            </w:r>
            <w:proofErr w:type="spellEnd"/>
            <w:r w:rsidRPr="00EE683A">
              <w:rPr>
                <w:rFonts w:eastAsia="Times New Roman" w:cs="Arial"/>
                <w:sz w:val="18"/>
                <w:szCs w:val="18"/>
                <w:lang w:eastAsia="en-AU"/>
              </w:rPr>
              <w:t xml:space="preserve"> 8.6t/ha Cultivated</w:t>
            </w:r>
          </w:p>
        </w:tc>
        <w:tc>
          <w:tcPr>
            <w:tcW w:w="1451" w:type="dxa"/>
            <w:noWrap/>
            <w:hideMark/>
          </w:tcPr>
          <w:p w14:paraId="7BE0DEE7"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120%</w:t>
            </w:r>
          </w:p>
        </w:tc>
        <w:tc>
          <w:tcPr>
            <w:tcW w:w="1451" w:type="dxa"/>
            <w:noWrap/>
            <w:hideMark/>
          </w:tcPr>
          <w:p w14:paraId="7CD4332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250%</w:t>
            </w:r>
          </w:p>
        </w:tc>
        <w:tc>
          <w:tcPr>
            <w:tcW w:w="1451" w:type="dxa"/>
            <w:noWrap/>
            <w:hideMark/>
          </w:tcPr>
          <w:p w14:paraId="73BC883C"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965</w:t>
            </w:r>
          </w:p>
        </w:tc>
        <w:tc>
          <w:tcPr>
            <w:tcW w:w="1451" w:type="dxa"/>
            <w:noWrap/>
            <w:hideMark/>
          </w:tcPr>
          <w:p w14:paraId="22C350D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48.3</w:t>
            </w:r>
          </w:p>
        </w:tc>
      </w:tr>
      <w:tr w:rsidR="006200C3" w:rsidRPr="00EE683A" w14:paraId="4C41CF3F" w14:textId="77777777" w:rsidTr="006200C3">
        <w:trPr>
          <w:trHeight w:val="300"/>
        </w:trPr>
        <w:tc>
          <w:tcPr>
            <w:tcW w:w="3256" w:type="dxa"/>
            <w:noWrap/>
            <w:hideMark/>
          </w:tcPr>
          <w:p w14:paraId="03FFDD95"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Limesand  4t/ha Cultivated</w:t>
            </w:r>
          </w:p>
        </w:tc>
        <w:tc>
          <w:tcPr>
            <w:tcW w:w="1451" w:type="dxa"/>
            <w:noWrap/>
            <w:hideMark/>
          </w:tcPr>
          <w:p w14:paraId="09E44A50"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80%</w:t>
            </w:r>
          </w:p>
        </w:tc>
        <w:tc>
          <w:tcPr>
            <w:tcW w:w="1451" w:type="dxa"/>
            <w:noWrap/>
            <w:hideMark/>
          </w:tcPr>
          <w:p w14:paraId="1603A6D9"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200%</w:t>
            </w:r>
          </w:p>
        </w:tc>
        <w:tc>
          <w:tcPr>
            <w:tcW w:w="1451" w:type="dxa"/>
            <w:noWrap/>
            <w:hideMark/>
          </w:tcPr>
          <w:p w14:paraId="252486C2"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915</w:t>
            </w:r>
          </w:p>
        </w:tc>
        <w:tc>
          <w:tcPr>
            <w:tcW w:w="1451" w:type="dxa"/>
            <w:noWrap/>
            <w:hideMark/>
          </w:tcPr>
          <w:p w14:paraId="05529599"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45.8</w:t>
            </w:r>
          </w:p>
        </w:tc>
      </w:tr>
      <w:tr w:rsidR="006200C3" w:rsidRPr="00EE683A" w14:paraId="6FFA46E4" w14:textId="77777777" w:rsidTr="006200C3">
        <w:trPr>
          <w:trHeight w:val="300"/>
        </w:trPr>
        <w:tc>
          <w:tcPr>
            <w:tcW w:w="3256" w:type="dxa"/>
            <w:noWrap/>
            <w:hideMark/>
          </w:tcPr>
          <w:p w14:paraId="13B8745D"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8.76t/ha Cultivated</w:t>
            </w:r>
          </w:p>
        </w:tc>
        <w:tc>
          <w:tcPr>
            <w:tcW w:w="1451" w:type="dxa"/>
            <w:noWrap/>
            <w:hideMark/>
          </w:tcPr>
          <w:p w14:paraId="2654CA69"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100%</w:t>
            </w:r>
          </w:p>
        </w:tc>
        <w:tc>
          <w:tcPr>
            <w:tcW w:w="1451" w:type="dxa"/>
            <w:noWrap/>
            <w:hideMark/>
          </w:tcPr>
          <w:p w14:paraId="1DE5E195"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230%</w:t>
            </w:r>
          </w:p>
        </w:tc>
        <w:tc>
          <w:tcPr>
            <w:tcW w:w="1451" w:type="dxa"/>
            <w:noWrap/>
            <w:hideMark/>
          </w:tcPr>
          <w:p w14:paraId="170BD6E4"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890</w:t>
            </w:r>
          </w:p>
        </w:tc>
        <w:tc>
          <w:tcPr>
            <w:tcW w:w="1451" w:type="dxa"/>
            <w:noWrap/>
            <w:hideMark/>
          </w:tcPr>
          <w:p w14:paraId="3C3FA06D"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44.5</w:t>
            </w:r>
          </w:p>
        </w:tc>
      </w:tr>
      <w:tr w:rsidR="006200C3" w:rsidRPr="00EE683A" w14:paraId="350E88DB" w14:textId="77777777" w:rsidTr="006200C3">
        <w:trPr>
          <w:trHeight w:val="300"/>
        </w:trPr>
        <w:tc>
          <w:tcPr>
            <w:tcW w:w="3256" w:type="dxa"/>
            <w:noWrap/>
            <w:hideMark/>
          </w:tcPr>
          <w:p w14:paraId="6F7E9C1A"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7.35t/ha Cultivated</w:t>
            </w:r>
          </w:p>
        </w:tc>
        <w:tc>
          <w:tcPr>
            <w:tcW w:w="1451" w:type="dxa"/>
            <w:noWrap/>
            <w:hideMark/>
          </w:tcPr>
          <w:p w14:paraId="67377446"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130%</w:t>
            </w:r>
          </w:p>
        </w:tc>
        <w:tc>
          <w:tcPr>
            <w:tcW w:w="1451" w:type="dxa"/>
            <w:noWrap/>
            <w:hideMark/>
          </w:tcPr>
          <w:p w14:paraId="557491B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260%</w:t>
            </w:r>
          </w:p>
        </w:tc>
        <w:tc>
          <w:tcPr>
            <w:tcW w:w="1451" w:type="dxa"/>
            <w:noWrap/>
            <w:hideMark/>
          </w:tcPr>
          <w:p w14:paraId="740830F0"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855</w:t>
            </w:r>
          </w:p>
        </w:tc>
        <w:tc>
          <w:tcPr>
            <w:tcW w:w="1451" w:type="dxa"/>
            <w:noWrap/>
            <w:hideMark/>
          </w:tcPr>
          <w:p w14:paraId="794A5E3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42.8</w:t>
            </w:r>
          </w:p>
        </w:tc>
      </w:tr>
      <w:tr w:rsidR="006200C3" w:rsidRPr="00EE683A" w14:paraId="76F51F20" w14:textId="77777777" w:rsidTr="006200C3">
        <w:trPr>
          <w:trHeight w:val="300"/>
        </w:trPr>
        <w:tc>
          <w:tcPr>
            <w:tcW w:w="3256" w:type="dxa"/>
            <w:noWrap/>
            <w:hideMark/>
          </w:tcPr>
          <w:p w14:paraId="09A4F7AE"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14.7t/ha Cultivated</w:t>
            </w:r>
          </w:p>
        </w:tc>
        <w:tc>
          <w:tcPr>
            <w:tcW w:w="1451" w:type="dxa"/>
            <w:noWrap/>
            <w:hideMark/>
          </w:tcPr>
          <w:p w14:paraId="18BE7194"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40%</w:t>
            </w:r>
          </w:p>
        </w:tc>
        <w:tc>
          <w:tcPr>
            <w:tcW w:w="1451" w:type="dxa"/>
            <w:noWrap/>
            <w:hideMark/>
          </w:tcPr>
          <w:p w14:paraId="5D180A6A"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120%</w:t>
            </w:r>
          </w:p>
        </w:tc>
        <w:tc>
          <w:tcPr>
            <w:tcW w:w="1451" w:type="dxa"/>
            <w:noWrap/>
            <w:hideMark/>
          </w:tcPr>
          <w:p w14:paraId="7E546191"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810</w:t>
            </w:r>
          </w:p>
        </w:tc>
        <w:tc>
          <w:tcPr>
            <w:tcW w:w="1451" w:type="dxa"/>
            <w:noWrap/>
            <w:hideMark/>
          </w:tcPr>
          <w:p w14:paraId="062FE872"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40.5</w:t>
            </w:r>
          </w:p>
        </w:tc>
      </w:tr>
      <w:tr w:rsidR="006200C3" w:rsidRPr="00EE683A" w14:paraId="37558BDC" w14:textId="77777777" w:rsidTr="006200C3">
        <w:trPr>
          <w:trHeight w:val="300"/>
        </w:trPr>
        <w:tc>
          <w:tcPr>
            <w:tcW w:w="3256" w:type="dxa"/>
            <w:noWrap/>
            <w:hideMark/>
          </w:tcPr>
          <w:p w14:paraId="34B7F3EE"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14.7t/ha Uncultivated</w:t>
            </w:r>
          </w:p>
        </w:tc>
        <w:tc>
          <w:tcPr>
            <w:tcW w:w="1451" w:type="dxa"/>
            <w:noWrap/>
            <w:hideMark/>
          </w:tcPr>
          <w:p w14:paraId="1015BB1E"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w:t>
            </w:r>
          </w:p>
        </w:tc>
        <w:tc>
          <w:tcPr>
            <w:tcW w:w="1451" w:type="dxa"/>
            <w:noWrap/>
            <w:hideMark/>
          </w:tcPr>
          <w:p w14:paraId="2CB83695"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100%</w:t>
            </w:r>
          </w:p>
        </w:tc>
        <w:tc>
          <w:tcPr>
            <w:tcW w:w="1451" w:type="dxa"/>
            <w:noWrap/>
            <w:hideMark/>
          </w:tcPr>
          <w:p w14:paraId="3212ACF3"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695</w:t>
            </w:r>
          </w:p>
        </w:tc>
        <w:tc>
          <w:tcPr>
            <w:tcW w:w="1451" w:type="dxa"/>
            <w:noWrap/>
            <w:hideMark/>
          </w:tcPr>
          <w:p w14:paraId="1181B04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34.8</w:t>
            </w:r>
          </w:p>
        </w:tc>
      </w:tr>
      <w:tr w:rsidR="006200C3" w:rsidRPr="00EE683A" w14:paraId="52F2AB17" w14:textId="77777777" w:rsidTr="006200C3">
        <w:trPr>
          <w:trHeight w:val="300"/>
        </w:trPr>
        <w:tc>
          <w:tcPr>
            <w:tcW w:w="3256" w:type="dxa"/>
            <w:noWrap/>
            <w:hideMark/>
          </w:tcPr>
          <w:p w14:paraId="67E3437F"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 xml:space="preserve">Depositional </w:t>
            </w:r>
            <w:proofErr w:type="spellStart"/>
            <w:r w:rsidRPr="00EE683A">
              <w:rPr>
                <w:rFonts w:eastAsia="Times New Roman" w:cs="Arial"/>
                <w:sz w:val="18"/>
                <w:szCs w:val="18"/>
                <w:lang w:eastAsia="en-AU"/>
              </w:rPr>
              <w:t>morrel</w:t>
            </w:r>
            <w:proofErr w:type="spellEnd"/>
            <w:r w:rsidRPr="00EE683A">
              <w:rPr>
                <w:rFonts w:eastAsia="Times New Roman" w:cs="Arial"/>
                <w:sz w:val="18"/>
                <w:szCs w:val="18"/>
                <w:lang w:eastAsia="en-AU"/>
              </w:rPr>
              <w:t xml:space="preserve"> 8.6t/ha Uncultivated</w:t>
            </w:r>
          </w:p>
        </w:tc>
        <w:tc>
          <w:tcPr>
            <w:tcW w:w="1451" w:type="dxa"/>
            <w:noWrap/>
            <w:hideMark/>
          </w:tcPr>
          <w:p w14:paraId="14A15168"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30%</w:t>
            </w:r>
          </w:p>
        </w:tc>
        <w:tc>
          <w:tcPr>
            <w:tcW w:w="1451" w:type="dxa"/>
            <w:noWrap/>
            <w:hideMark/>
          </w:tcPr>
          <w:p w14:paraId="0BBCB656"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170%</w:t>
            </w:r>
          </w:p>
        </w:tc>
        <w:tc>
          <w:tcPr>
            <w:tcW w:w="1451" w:type="dxa"/>
            <w:noWrap/>
            <w:hideMark/>
          </w:tcPr>
          <w:p w14:paraId="61ABB384"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680</w:t>
            </w:r>
          </w:p>
        </w:tc>
        <w:tc>
          <w:tcPr>
            <w:tcW w:w="1451" w:type="dxa"/>
            <w:noWrap/>
            <w:hideMark/>
          </w:tcPr>
          <w:p w14:paraId="1312CA96"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34.0</w:t>
            </w:r>
          </w:p>
        </w:tc>
      </w:tr>
      <w:tr w:rsidR="006200C3" w:rsidRPr="00EE683A" w14:paraId="51AC4F61" w14:textId="77777777" w:rsidTr="006200C3">
        <w:trPr>
          <w:trHeight w:val="300"/>
        </w:trPr>
        <w:tc>
          <w:tcPr>
            <w:tcW w:w="3256" w:type="dxa"/>
            <w:noWrap/>
          </w:tcPr>
          <w:p w14:paraId="429A7FF3" w14:textId="77777777" w:rsidR="006200C3" w:rsidRPr="00EE683A" w:rsidRDefault="006200C3" w:rsidP="006200C3">
            <w:pPr>
              <w:spacing w:after="0"/>
              <w:rPr>
                <w:rFonts w:eastAsia="Times New Roman" w:cs="Arial"/>
                <w:sz w:val="18"/>
                <w:szCs w:val="18"/>
                <w:lang w:eastAsia="en-AU"/>
              </w:rPr>
            </w:pPr>
            <w:r w:rsidRPr="00EE683A">
              <w:rPr>
                <w:rFonts w:cs="Arial"/>
                <w:sz w:val="18"/>
                <w:szCs w:val="18"/>
              </w:rPr>
              <w:t>Limesand 4t/ha Uncultivated</w:t>
            </w:r>
          </w:p>
        </w:tc>
        <w:tc>
          <w:tcPr>
            <w:tcW w:w="1451" w:type="dxa"/>
            <w:noWrap/>
          </w:tcPr>
          <w:p w14:paraId="3C2B6B03"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0%</w:t>
            </w:r>
          </w:p>
        </w:tc>
        <w:tc>
          <w:tcPr>
            <w:tcW w:w="1451" w:type="dxa"/>
            <w:noWrap/>
          </w:tcPr>
          <w:p w14:paraId="68B534D8"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100%</w:t>
            </w:r>
          </w:p>
        </w:tc>
        <w:tc>
          <w:tcPr>
            <w:tcW w:w="1451" w:type="dxa"/>
            <w:noWrap/>
          </w:tcPr>
          <w:p w14:paraId="0AB92BBF"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585</w:t>
            </w:r>
          </w:p>
        </w:tc>
        <w:tc>
          <w:tcPr>
            <w:tcW w:w="1451" w:type="dxa"/>
            <w:noWrap/>
          </w:tcPr>
          <w:p w14:paraId="7CCFF9BA"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29.3</w:t>
            </w:r>
          </w:p>
        </w:tc>
      </w:tr>
      <w:tr w:rsidR="006200C3" w:rsidRPr="00EE683A" w14:paraId="27F6675E" w14:textId="77777777" w:rsidTr="006200C3">
        <w:trPr>
          <w:trHeight w:val="300"/>
        </w:trPr>
        <w:tc>
          <w:tcPr>
            <w:tcW w:w="3256" w:type="dxa"/>
            <w:noWrap/>
            <w:hideMark/>
          </w:tcPr>
          <w:p w14:paraId="5A6E0AFD"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8.76t/ha Uncultivated</w:t>
            </w:r>
          </w:p>
        </w:tc>
        <w:tc>
          <w:tcPr>
            <w:tcW w:w="1451" w:type="dxa"/>
            <w:noWrap/>
            <w:hideMark/>
          </w:tcPr>
          <w:p w14:paraId="4AA86214"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w:t>
            </w:r>
          </w:p>
        </w:tc>
        <w:tc>
          <w:tcPr>
            <w:tcW w:w="1451" w:type="dxa"/>
            <w:noWrap/>
            <w:hideMark/>
          </w:tcPr>
          <w:p w14:paraId="38C76EC2"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110%</w:t>
            </w:r>
          </w:p>
        </w:tc>
        <w:tc>
          <w:tcPr>
            <w:tcW w:w="1451" w:type="dxa"/>
            <w:noWrap/>
            <w:hideMark/>
          </w:tcPr>
          <w:p w14:paraId="55F0EBFB"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450</w:t>
            </w:r>
          </w:p>
        </w:tc>
        <w:tc>
          <w:tcPr>
            <w:tcW w:w="1451" w:type="dxa"/>
            <w:noWrap/>
            <w:hideMark/>
          </w:tcPr>
          <w:p w14:paraId="1699DE6B"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22.5</w:t>
            </w:r>
          </w:p>
        </w:tc>
      </w:tr>
      <w:tr w:rsidR="006200C3" w:rsidRPr="00EE683A" w14:paraId="7D763D5B" w14:textId="77777777" w:rsidTr="006200C3">
        <w:trPr>
          <w:trHeight w:val="300"/>
        </w:trPr>
        <w:tc>
          <w:tcPr>
            <w:tcW w:w="3256" w:type="dxa"/>
            <w:noWrap/>
            <w:hideMark/>
          </w:tcPr>
          <w:p w14:paraId="32E85957" w14:textId="77777777" w:rsidR="006200C3" w:rsidRPr="00EE683A" w:rsidRDefault="006200C3" w:rsidP="006200C3">
            <w:pPr>
              <w:spacing w:after="0"/>
              <w:rPr>
                <w:rFonts w:eastAsia="Times New Roman" w:cs="Arial"/>
                <w:sz w:val="18"/>
                <w:szCs w:val="18"/>
                <w:lang w:eastAsia="en-AU"/>
              </w:rPr>
            </w:pPr>
            <w:r w:rsidRPr="00EE683A">
              <w:rPr>
                <w:rFonts w:eastAsia="Times New Roman" w:cs="Arial"/>
                <w:sz w:val="18"/>
                <w:szCs w:val="18"/>
                <w:lang w:eastAsia="en-AU"/>
              </w:rPr>
              <w:t>Dolerite 7.35t/ha Uncultivated</w:t>
            </w:r>
          </w:p>
        </w:tc>
        <w:tc>
          <w:tcPr>
            <w:tcW w:w="1451" w:type="dxa"/>
            <w:noWrap/>
            <w:hideMark/>
          </w:tcPr>
          <w:p w14:paraId="16B8306E"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20%</w:t>
            </w:r>
          </w:p>
        </w:tc>
        <w:tc>
          <w:tcPr>
            <w:tcW w:w="1451" w:type="dxa"/>
            <w:noWrap/>
            <w:hideMark/>
          </w:tcPr>
          <w:p w14:paraId="3326ACED"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100%</w:t>
            </w:r>
          </w:p>
        </w:tc>
        <w:tc>
          <w:tcPr>
            <w:tcW w:w="1451" w:type="dxa"/>
            <w:noWrap/>
            <w:hideMark/>
          </w:tcPr>
          <w:p w14:paraId="6DC4C614"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345</w:t>
            </w:r>
          </w:p>
        </w:tc>
        <w:tc>
          <w:tcPr>
            <w:tcW w:w="1451" w:type="dxa"/>
            <w:noWrap/>
            <w:hideMark/>
          </w:tcPr>
          <w:p w14:paraId="30EFE022" w14:textId="77777777" w:rsidR="006200C3" w:rsidRPr="00EE683A" w:rsidRDefault="006200C3" w:rsidP="006200C3">
            <w:pPr>
              <w:spacing w:after="0"/>
              <w:jc w:val="right"/>
              <w:rPr>
                <w:rFonts w:eastAsia="Times New Roman" w:cs="Arial"/>
                <w:sz w:val="18"/>
                <w:szCs w:val="18"/>
                <w:lang w:eastAsia="en-AU"/>
              </w:rPr>
            </w:pPr>
            <w:r w:rsidRPr="00EE683A">
              <w:rPr>
                <w:rFonts w:eastAsia="Times New Roman" w:cs="Arial"/>
                <w:sz w:val="18"/>
                <w:szCs w:val="18"/>
                <w:lang w:eastAsia="en-AU"/>
              </w:rPr>
              <w:t>17.3</w:t>
            </w:r>
          </w:p>
        </w:tc>
      </w:tr>
    </w:tbl>
    <w:p w14:paraId="3C1CD76D" w14:textId="77777777" w:rsidR="006200C3" w:rsidRPr="0084494D" w:rsidRDefault="006200C3" w:rsidP="006200C3">
      <w:pPr>
        <w:pStyle w:val="Caption"/>
        <w:rPr>
          <w:b/>
          <w:sz w:val="22"/>
          <w:szCs w:val="22"/>
        </w:rPr>
      </w:pPr>
      <w:r w:rsidRPr="0084494D">
        <w:rPr>
          <w:b/>
          <w:sz w:val="22"/>
          <w:szCs w:val="22"/>
        </w:rPr>
        <w:t>Table 4</w:t>
      </w:r>
      <w:r w:rsidR="00404AD1">
        <w:rPr>
          <w:b/>
          <w:sz w:val="22"/>
          <w:szCs w:val="22"/>
        </w:rPr>
        <w:t>.</w:t>
      </w:r>
      <w:r w:rsidRPr="0084494D">
        <w:rPr>
          <w:b/>
          <w:sz w:val="22"/>
          <w:szCs w:val="22"/>
        </w:rPr>
        <w:t xml:space="preserve"> iLime predicted return on investment at </w:t>
      </w:r>
      <w:r w:rsidR="00404AD1">
        <w:rPr>
          <w:b/>
          <w:sz w:val="22"/>
          <w:szCs w:val="22"/>
        </w:rPr>
        <w:t>five</w:t>
      </w:r>
      <w:r w:rsidR="00404AD1" w:rsidRPr="0084494D">
        <w:rPr>
          <w:b/>
          <w:sz w:val="22"/>
          <w:szCs w:val="22"/>
        </w:rPr>
        <w:t xml:space="preserve"> </w:t>
      </w:r>
      <w:r w:rsidRPr="0084494D">
        <w:rPr>
          <w:b/>
          <w:sz w:val="22"/>
          <w:szCs w:val="22"/>
        </w:rPr>
        <w:t>and 10 years, net present value after 20 years and average $/ha/year benefit for medium rates of lime sources.</w:t>
      </w:r>
    </w:p>
    <w:p w14:paraId="398144BE" w14:textId="77777777" w:rsidR="00404AD1" w:rsidRDefault="00404AD1" w:rsidP="00ED2335"/>
    <w:p w14:paraId="2F370631" w14:textId="77777777" w:rsidR="00ED2335" w:rsidRDefault="004423F3" w:rsidP="00ED2335">
      <w:r w:rsidRPr="00E64D5A">
        <w:t xml:space="preserve">These results are based on </w:t>
      </w:r>
      <w:r w:rsidR="00D86174">
        <w:t>the allocated rotation</w:t>
      </w:r>
      <w:r w:rsidR="00381BB1">
        <w:t xml:space="preserve"> (W-P-W-L-C)</w:t>
      </w:r>
      <w:r w:rsidR="000D265F">
        <w:t>. The lower rates of dolerite g</w:t>
      </w:r>
      <w:r w:rsidR="00404AD1">
        <w:t>a</w:t>
      </w:r>
      <w:r w:rsidR="000D265F">
        <w:t xml:space="preserve">ve a better economic outcome over a </w:t>
      </w:r>
      <w:r w:rsidR="00404AD1">
        <w:t>20-</w:t>
      </w:r>
      <w:r w:rsidR="000D265F">
        <w:t>year period</w:t>
      </w:r>
      <w:r w:rsidR="00B422F1">
        <w:t>,</w:t>
      </w:r>
      <w:r w:rsidR="000D265F">
        <w:t xml:space="preserve"> but the pH change </w:t>
      </w:r>
      <w:r w:rsidR="00404AD1">
        <w:t xml:space="preserve">was </w:t>
      </w:r>
      <w:r w:rsidR="000D265F">
        <w:t>not as ideal</w:t>
      </w:r>
      <w:r w:rsidR="007C3D93" w:rsidRPr="007C3D93">
        <w:t xml:space="preserve"> </w:t>
      </w:r>
      <w:r w:rsidR="007C3D93">
        <w:t>compared with the 14.7t/ha rate (Figure 2 and 3). The low dolerite rates raise</w:t>
      </w:r>
      <w:r w:rsidR="00404AD1">
        <w:t>d</w:t>
      </w:r>
      <w:r w:rsidR="007C3D93">
        <w:t xml:space="preserve"> the pH when cultivated to 5.0-4.9 in the 0-10cm and 4.8 to 4.6 in the10-20cm.</w:t>
      </w:r>
      <w:r w:rsidR="000D265F">
        <w:t xml:space="preserve"> The use of the iLime app can be used to provide guidance to individual businesses </w:t>
      </w:r>
      <w:r w:rsidR="00404AD1">
        <w:t xml:space="preserve">as </w:t>
      </w:r>
      <w:r w:rsidR="000D265F">
        <w:t>rates can be chosen to fit with various goals.</w:t>
      </w:r>
    </w:p>
    <w:p w14:paraId="6CF53F1E" w14:textId="77777777" w:rsidR="008C6588" w:rsidRPr="00E64D5A" w:rsidRDefault="003B6DA6" w:rsidP="008F2638">
      <w:pPr>
        <w:pStyle w:val="Heading2"/>
      </w:pPr>
      <w:r w:rsidRPr="00E64D5A">
        <w:lastRenderedPageBreak/>
        <w:t>C</w:t>
      </w:r>
      <w:r w:rsidR="008C6588" w:rsidRPr="00E64D5A">
        <w:t>onclusion</w:t>
      </w:r>
      <w:r w:rsidR="00415CE8" w:rsidRPr="00415CE8">
        <w:rPr>
          <w:rFonts w:cs="Arial"/>
          <w:noProof/>
          <w:sz w:val="24"/>
          <w:szCs w:val="24"/>
        </w:rPr>
        <w:t xml:space="preserve"> </w:t>
      </w:r>
    </w:p>
    <w:p w14:paraId="17836061" w14:textId="77777777" w:rsidR="00A776D9" w:rsidRDefault="00E12445" w:rsidP="00897B1A">
      <w:r>
        <w:t>O</w:t>
      </w:r>
      <w:r w:rsidR="00465F21" w:rsidRPr="00E64D5A">
        <w:t xml:space="preserve">n-farm lime sources </w:t>
      </w:r>
      <w:r w:rsidR="000D265F">
        <w:t>would preferably</w:t>
      </w:r>
      <w:r>
        <w:t xml:space="preserve"> be</w:t>
      </w:r>
      <w:r w:rsidR="000D265F">
        <w:t xml:space="preserve"> of a</w:t>
      </w:r>
      <w:r>
        <w:t xml:space="preserve"> high quality</w:t>
      </w:r>
      <w:r w:rsidR="00465F21" w:rsidRPr="00E64D5A">
        <w:t xml:space="preserve"> to produce an economic benefit compared to limesand</w:t>
      </w:r>
      <w:r>
        <w:t>, but</w:t>
      </w:r>
      <w:r w:rsidR="00465F21" w:rsidRPr="00E64D5A">
        <w:t xml:space="preserve"> </w:t>
      </w:r>
      <w:r>
        <w:t>a</w:t>
      </w:r>
      <w:r w:rsidR="00465F21" w:rsidRPr="00E64D5A">
        <w:t xml:space="preserve">s distance increases from the coast, </w:t>
      </w:r>
      <w:r w:rsidR="005607DC">
        <w:t xml:space="preserve">poorer quality sources or sources with </w:t>
      </w:r>
      <w:r w:rsidR="00465F21" w:rsidRPr="00E64D5A">
        <w:t xml:space="preserve">higher </w:t>
      </w:r>
      <w:r>
        <w:t>cost</w:t>
      </w:r>
      <w:r w:rsidR="000D265F">
        <w:t>s associated with extraction and processing</w:t>
      </w:r>
      <w:r w:rsidR="007C3D93">
        <w:t xml:space="preserve"> </w:t>
      </w:r>
      <w:r w:rsidR="00404AD1">
        <w:t>could</w:t>
      </w:r>
      <w:r w:rsidR="00404AD1" w:rsidRPr="00E64D5A">
        <w:t xml:space="preserve"> </w:t>
      </w:r>
      <w:r w:rsidR="00465F21" w:rsidRPr="00E64D5A">
        <w:t>be</w:t>
      </w:r>
      <w:r w:rsidR="000D265F">
        <w:t>come</w:t>
      </w:r>
      <w:r w:rsidR="00465F21" w:rsidRPr="00E64D5A">
        <w:t xml:space="preserve"> viable options</w:t>
      </w:r>
      <w:r w:rsidR="00365BF3">
        <w:t>.</w:t>
      </w:r>
      <w:r w:rsidR="002A05CB">
        <w:t xml:space="preserve"> </w:t>
      </w:r>
      <w:r w:rsidR="00404AD1">
        <w:t>It is important to consider p</w:t>
      </w:r>
      <w:r w:rsidR="002A05CB">
        <w:t xml:space="preserve">article size distributions and NVs associated with the different particle fractions </w:t>
      </w:r>
      <w:r w:rsidR="00404AD1">
        <w:t xml:space="preserve">when </w:t>
      </w:r>
      <w:r w:rsidR="002A05CB">
        <w:t>using an on-farm lime source. T</w:t>
      </w:r>
      <w:r w:rsidR="00465F21" w:rsidRPr="00E64D5A">
        <w:t xml:space="preserve">his needs to be </w:t>
      </w:r>
      <w:r>
        <w:t>assessed</w:t>
      </w:r>
      <w:r w:rsidR="000D265F">
        <w:t xml:space="preserve"> for each situation and source</w:t>
      </w:r>
      <w:r w:rsidR="00465F21" w:rsidRPr="00E64D5A">
        <w:t xml:space="preserve">. Across all treatments and costings incorporating lime consistently </w:t>
      </w:r>
      <w:r>
        <w:t>gave better returns for</w:t>
      </w:r>
      <w:r w:rsidR="00465F21" w:rsidRPr="00E64D5A">
        <w:t xml:space="preserve"> the same lime source and rate</w:t>
      </w:r>
      <w:r w:rsidR="00465F21">
        <w:t>.</w:t>
      </w:r>
    </w:p>
    <w:p w14:paraId="26153418" w14:textId="77777777" w:rsidR="00BD008A" w:rsidRPr="00E64D5A" w:rsidRDefault="00BD008A" w:rsidP="00897B1A">
      <w:r w:rsidRPr="00E64D5A">
        <w:t xml:space="preserve">There was a reasonable relationship between the iLime </w:t>
      </w:r>
      <w:r w:rsidR="00BA7D3F">
        <w:t xml:space="preserve">yield </w:t>
      </w:r>
      <w:r w:rsidRPr="00E64D5A">
        <w:t xml:space="preserve">predictions and actual </w:t>
      </w:r>
      <w:r w:rsidR="00BA7D3F">
        <w:t>yields</w:t>
      </w:r>
      <w:r w:rsidR="00970C14">
        <w:t xml:space="preserve"> for the uncultivated treatments</w:t>
      </w:r>
      <w:r w:rsidR="006200C3">
        <w:t>. T</w:t>
      </w:r>
      <w:r w:rsidR="002A05CB">
        <w:t>here was less similarity between</w:t>
      </w:r>
      <w:r w:rsidR="00A776D9">
        <w:t xml:space="preserve"> the </w:t>
      </w:r>
      <w:r w:rsidR="00404AD1">
        <w:t xml:space="preserve">actual trial yields </w:t>
      </w:r>
      <w:r w:rsidR="00A776D9">
        <w:t>and</w:t>
      </w:r>
      <w:r w:rsidR="002A05CB">
        <w:t xml:space="preserve"> </w:t>
      </w:r>
      <w:proofErr w:type="spellStart"/>
      <w:r w:rsidR="002A05CB">
        <w:t>iLime</w:t>
      </w:r>
      <w:r w:rsidR="00A776D9">
        <w:t>’s</w:t>
      </w:r>
      <w:proofErr w:type="spellEnd"/>
      <w:r w:rsidR="00562E26">
        <w:t xml:space="preserve"> </w:t>
      </w:r>
      <w:r w:rsidR="00404AD1">
        <w:t xml:space="preserve">predicted </w:t>
      </w:r>
      <w:r w:rsidR="00562E26">
        <w:t>yields for the</w:t>
      </w:r>
      <w:r w:rsidR="002A05CB">
        <w:t xml:space="preserve"> cultivated treatments</w:t>
      </w:r>
      <w:r w:rsidR="00404AD1">
        <w:t>,</w:t>
      </w:r>
      <w:r w:rsidR="000D265F" w:rsidRPr="000D265F">
        <w:t xml:space="preserve"> </w:t>
      </w:r>
      <w:r w:rsidR="000D265F">
        <w:t>which could be related to benefits other than that associated with pH change</w:t>
      </w:r>
      <w:r w:rsidRPr="00E64D5A">
        <w:t>.</w:t>
      </w:r>
      <w:r w:rsidR="002A05CB">
        <w:t xml:space="preserve"> I</w:t>
      </w:r>
      <w:r w:rsidRPr="00E64D5A">
        <w:t xml:space="preserve">n a varied landscape </w:t>
      </w:r>
      <w:r w:rsidR="00404AD1" w:rsidRPr="00E64D5A">
        <w:t>th</w:t>
      </w:r>
      <w:r w:rsidR="00404AD1">
        <w:t>ese additional benefits</w:t>
      </w:r>
      <w:r w:rsidR="00404AD1" w:rsidRPr="00E64D5A">
        <w:t xml:space="preserve"> </w:t>
      </w:r>
      <w:r w:rsidRPr="00E64D5A">
        <w:t xml:space="preserve">need to be a </w:t>
      </w:r>
      <w:r w:rsidR="00404AD1" w:rsidRPr="00E64D5A">
        <w:t>consider</w:t>
      </w:r>
      <w:r w:rsidR="00404AD1">
        <w:t>ed</w:t>
      </w:r>
      <w:r w:rsidR="00404AD1" w:rsidRPr="00E64D5A">
        <w:t xml:space="preserve"> </w:t>
      </w:r>
      <w:r w:rsidRPr="00E64D5A">
        <w:t xml:space="preserve">when </w:t>
      </w:r>
      <w:r w:rsidR="00404AD1">
        <w:t>using</w:t>
      </w:r>
      <w:r w:rsidR="00404AD1" w:rsidRPr="00E64D5A">
        <w:t xml:space="preserve"> </w:t>
      </w:r>
      <w:r w:rsidRPr="00E64D5A">
        <w:t>the dec</w:t>
      </w:r>
      <w:r w:rsidR="001A2305">
        <w:t>ision</w:t>
      </w:r>
      <w:r w:rsidR="00404AD1">
        <w:t>-</w:t>
      </w:r>
      <w:r w:rsidR="001A2305">
        <w:t xml:space="preserve">making tool. iLime only looks at the influence </w:t>
      </w:r>
      <w:r w:rsidR="00404AD1">
        <w:t xml:space="preserve">that </w:t>
      </w:r>
      <w:r w:rsidR="001A2305">
        <w:t>liming has on the system</w:t>
      </w:r>
      <w:r w:rsidRPr="00E64D5A">
        <w:t xml:space="preserve"> and </w:t>
      </w:r>
      <w:r w:rsidR="001A2305">
        <w:t xml:space="preserve">does not </w:t>
      </w:r>
      <w:r w:rsidR="003A39D3">
        <w:t>consider</w:t>
      </w:r>
      <w:r w:rsidR="001A2305">
        <w:t xml:space="preserve"> </w:t>
      </w:r>
      <w:r w:rsidRPr="00E64D5A">
        <w:t xml:space="preserve">other factors </w:t>
      </w:r>
      <w:r w:rsidR="009D5DB6">
        <w:t xml:space="preserve">that </w:t>
      </w:r>
      <w:r w:rsidR="00404AD1">
        <w:t xml:space="preserve">can </w:t>
      </w:r>
      <w:r w:rsidR="009D5DB6">
        <w:t>affect yield</w:t>
      </w:r>
      <w:r w:rsidR="001A2305">
        <w:t>.</w:t>
      </w:r>
    </w:p>
    <w:p w14:paraId="167C41CE" w14:textId="77777777" w:rsidR="00B86B02" w:rsidRDefault="00465F21" w:rsidP="00897B1A">
      <w:r>
        <w:t xml:space="preserve">iLime predicted </w:t>
      </w:r>
      <w:r w:rsidR="004D369A">
        <w:t>a good pH response when</w:t>
      </w:r>
      <w:r w:rsidR="001A2305">
        <w:t xml:space="preserve"> adequate lime was applied</w:t>
      </w:r>
      <w:r w:rsidR="004D369A">
        <w:t xml:space="preserve"> upfront, and culti</w:t>
      </w:r>
      <w:r w:rsidR="00365BF3">
        <w:t>vation accelerated the response</w:t>
      </w:r>
      <w:r w:rsidR="00B86B02">
        <w:t xml:space="preserve"> in the subsoil.</w:t>
      </w:r>
      <w:r w:rsidR="009D5DB6" w:rsidRPr="009D5DB6">
        <w:t xml:space="preserve"> </w:t>
      </w:r>
      <w:r w:rsidR="009D5DB6">
        <w:t xml:space="preserve">The trial data showed a significant </w:t>
      </w:r>
      <w:r w:rsidR="006F33B3">
        <w:t>yield</w:t>
      </w:r>
      <w:r w:rsidR="005607DC">
        <w:t xml:space="preserve"> </w:t>
      </w:r>
      <w:r w:rsidR="009D5DB6">
        <w:t>response to amelioration with lime when cultivation was applied.</w:t>
      </w:r>
      <w:r w:rsidR="009D5DB6" w:rsidRPr="009D5DB6">
        <w:t xml:space="preserve"> </w:t>
      </w:r>
      <w:r w:rsidR="009D5DB6">
        <w:t>Planned soil testing of the trial site will provide some field data</w:t>
      </w:r>
      <w:r w:rsidR="005607DC">
        <w:t xml:space="preserve"> </w:t>
      </w:r>
      <w:r w:rsidR="006200C3">
        <w:t>to validate the model</w:t>
      </w:r>
      <w:r w:rsidR="009D5DB6">
        <w:t>.</w:t>
      </w:r>
      <w:r w:rsidR="004D0CA9">
        <w:t xml:space="preserve"> </w:t>
      </w:r>
      <w:proofErr w:type="spellStart"/>
      <w:r w:rsidR="002A05CB">
        <w:t>iLime</w:t>
      </w:r>
      <w:proofErr w:type="spellEnd"/>
      <w:r w:rsidR="002A05CB">
        <w:t xml:space="preserve"> also </w:t>
      </w:r>
      <w:r w:rsidR="003A39D3">
        <w:t xml:space="preserve">predicted </w:t>
      </w:r>
      <w:r w:rsidR="002A05CB">
        <w:t>that some</w:t>
      </w:r>
      <w:r w:rsidR="006200C3">
        <w:t xml:space="preserve"> of the</w:t>
      </w:r>
      <w:r w:rsidR="002A05CB">
        <w:t xml:space="preserve"> medium</w:t>
      </w:r>
      <w:r w:rsidR="003A39D3">
        <w:t>-</w:t>
      </w:r>
      <w:r w:rsidR="002A05CB">
        <w:t>to</w:t>
      </w:r>
      <w:r w:rsidR="003A39D3">
        <w:t>-</w:t>
      </w:r>
      <w:r w:rsidR="002A05CB">
        <w:t xml:space="preserve">high rates applied </w:t>
      </w:r>
      <w:r w:rsidR="003A39D3">
        <w:t xml:space="preserve">might </w:t>
      </w:r>
      <w:r w:rsidR="002A05CB">
        <w:t>not require further liming for 20 years.</w:t>
      </w:r>
    </w:p>
    <w:p w14:paraId="37F54172" w14:textId="77777777" w:rsidR="00BD008A" w:rsidRPr="00E64D5A" w:rsidRDefault="003A39D3" w:rsidP="0054285E">
      <w:r>
        <w:t xml:space="preserve">Based on </w:t>
      </w:r>
      <w:proofErr w:type="spellStart"/>
      <w:r>
        <w:t>iLime</w:t>
      </w:r>
      <w:proofErr w:type="spellEnd"/>
      <w:r>
        <w:t xml:space="preserve"> simulations, i</w:t>
      </w:r>
      <w:r w:rsidR="00BD008A" w:rsidRPr="00E64D5A">
        <w:t xml:space="preserve">n some situations on-farm limes </w:t>
      </w:r>
      <w:r>
        <w:t>could</w:t>
      </w:r>
      <w:r w:rsidRPr="00E64D5A">
        <w:t xml:space="preserve"> </w:t>
      </w:r>
      <w:r w:rsidR="00BD008A" w:rsidRPr="00E64D5A">
        <w:t xml:space="preserve">be more profitable than </w:t>
      </w:r>
      <w:proofErr w:type="spellStart"/>
      <w:r w:rsidR="00BD008A" w:rsidRPr="00E64D5A">
        <w:t>limesand</w:t>
      </w:r>
      <w:proofErr w:type="spellEnd"/>
      <w:r w:rsidR="005206AB" w:rsidRPr="00E64D5A">
        <w:t>.</w:t>
      </w:r>
      <w:r w:rsidR="00A776D9">
        <w:t xml:space="preserve"> The medium rate of the</w:t>
      </w:r>
      <w:r w:rsidR="006200C3">
        <w:t xml:space="preserve"> cultivated</w:t>
      </w:r>
      <w:r w:rsidR="00A776D9">
        <w:t xml:space="preserve"> depositional</w:t>
      </w:r>
      <w:r w:rsidR="009D5DB6">
        <w:t xml:space="preserve"> </w:t>
      </w:r>
      <w:proofErr w:type="spellStart"/>
      <w:r w:rsidR="009D5DB6">
        <w:t>morrel</w:t>
      </w:r>
      <w:proofErr w:type="spellEnd"/>
      <w:r w:rsidR="006200C3">
        <w:t xml:space="preserve"> source </w:t>
      </w:r>
      <w:r w:rsidR="00A776D9">
        <w:t>had the highest NPV (</w:t>
      </w:r>
      <w:r>
        <w:t xml:space="preserve">over </w:t>
      </w:r>
      <w:r w:rsidR="00A776D9">
        <w:t>20 years)</w:t>
      </w:r>
      <w:r w:rsidR="009D5DB6">
        <w:t>,</w:t>
      </w:r>
      <w:r w:rsidR="009D5DB6" w:rsidRPr="009D5DB6">
        <w:t xml:space="preserve"> </w:t>
      </w:r>
      <w:r>
        <w:t xml:space="preserve">however </w:t>
      </w:r>
      <w:r w:rsidR="009D5DB6">
        <w:t xml:space="preserve">caution </w:t>
      </w:r>
      <w:r>
        <w:t xml:space="preserve">is required </w:t>
      </w:r>
      <w:r w:rsidR="009D5DB6">
        <w:t xml:space="preserve">regarding how </w:t>
      </w:r>
      <w:proofErr w:type="spellStart"/>
      <w:r w:rsidR="009D5DB6">
        <w:t>iLime</w:t>
      </w:r>
      <w:proofErr w:type="spellEnd"/>
      <w:r w:rsidR="009D5DB6">
        <w:t xml:space="preserve"> values the large particles found in this source as the trial yields were not significant</w:t>
      </w:r>
      <w:r w:rsidR="005E276C">
        <w:t>ly different</w:t>
      </w:r>
      <w:r w:rsidR="009D5DB6">
        <w:t xml:space="preserve"> from the nil this year. </w:t>
      </w:r>
      <w:r>
        <w:t xml:space="preserve">The next highest NPVs over 20-years were </w:t>
      </w:r>
      <w:r w:rsidR="00A776D9">
        <w:t xml:space="preserve">cultivated </w:t>
      </w:r>
      <w:proofErr w:type="spellStart"/>
      <w:r w:rsidR="00A776D9">
        <w:t>limesand</w:t>
      </w:r>
      <w:proofErr w:type="spellEnd"/>
      <w:r w:rsidR="00A776D9">
        <w:t xml:space="preserve"> (4t/ha) and local dolerite (8.76t/ha). </w:t>
      </w:r>
      <w:r w:rsidR="006F33B3">
        <w:t>Overall</w:t>
      </w:r>
      <w:r>
        <w:t>,</w:t>
      </w:r>
      <w:r w:rsidR="006F33B3">
        <w:t xml:space="preserve"> the local dolerite source produced wheat yields significantly better than the nil.  </w:t>
      </w:r>
      <w:proofErr w:type="spellStart"/>
      <w:r w:rsidR="006F33B3">
        <w:t>iLime</w:t>
      </w:r>
      <w:proofErr w:type="spellEnd"/>
      <w:r w:rsidR="006F33B3">
        <w:t xml:space="preserve"> </w:t>
      </w:r>
      <w:r>
        <w:t xml:space="preserve">indicated that </w:t>
      </w:r>
      <w:r w:rsidR="006F33B3">
        <w:t>t</w:t>
      </w:r>
      <w:r w:rsidR="00A776D9">
        <w:t xml:space="preserve">he lower rates of local dolerite had higher ROI and NPVs </w:t>
      </w:r>
      <w:r>
        <w:t>than</w:t>
      </w:r>
      <w:r w:rsidR="00A776D9">
        <w:t xml:space="preserve"> the 14.7t/ha</w:t>
      </w:r>
      <w:r>
        <w:t xml:space="preserve"> rate. </w:t>
      </w:r>
      <w:r w:rsidR="00A776D9">
        <w:t xml:space="preserve"> </w:t>
      </w:r>
      <w:r>
        <w:t xml:space="preserve">While </w:t>
      </w:r>
      <w:r w:rsidR="00A776D9">
        <w:t>the lower rates did not improve pH to the recommended level</w:t>
      </w:r>
      <w:r w:rsidR="0054285E">
        <w:t>, they</w:t>
      </w:r>
      <w:r w:rsidR="00A776D9">
        <w:t xml:space="preserve"> </w:t>
      </w:r>
      <w:r>
        <w:t xml:space="preserve">might </w:t>
      </w:r>
      <w:r w:rsidR="00A776D9">
        <w:t xml:space="preserve">meet the current requirements for the paddock and still give </w:t>
      </w:r>
      <w:r w:rsidR="0054285E">
        <w:t>adequate</w:t>
      </w:r>
      <w:r w:rsidR="00A776D9">
        <w:t xml:space="preserve"> economic benefit.</w:t>
      </w:r>
      <w:r w:rsidR="0054285E" w:rsidRPr="0054285E">
        <w:t xml:space="preserve"> </w:t>
      </w:r>
      <w:r w:rsidR="0054285E">
        <w:t xml:space="preserve">The economics, as well as physical changes in the soil, such as pH, need to be </w:t>
      </w:r>
      <w:r w:rsidR="006200C3">
        <w:t>compared</w:t>
      </w:r>
      <w:r w:rsidR="0054285E">
        <w:t xml:space="preserve"> against farm </w:t>
      </w:r>
      <w:r w:rsidR="009D5DB6">
        <w:t xml:space="preserve">business </w:t>
      </w:r>
      <w:r w:rsidR="0054285E">
        <w:t xml:space="preserve">goals and </w:t>
      </w:r>
      <w:r w:rsidR="009D5DB6">
        <w:t>timelines</w:t>
      </w:r>
      <w:r w:rsidR="0054285E">
        <w:t>. iLime does well as a decision</w:t>
      </w:r>
      <w:r>
        <w:t>-</w:t>
      </w:r>
      <w:r w:rsidR="0054285E">
        <w:t>making tool in assess</w:t>
      </w:r>
      <w:r>
        <w:t>ing</w:t>
      </w:r>
      <w:r w:rsidR="0054285E">
        <w:t xml:space="preserve"> different sources, rates, and lime strategies for individual paddocks and rotations.</w:t>
      </w:r>
    </w:p>
    <w:p w14:paraId="56DC8270" w14:textId="77777777" w:rsidR="00B2287C" w:rsidRPr="00E64D5A" w:rsidRDefault="00A87836" w:rsidP="00897B1A">
      <w:r w:rsidRPr="00E64D5A">
        <w:t xml:space="preserve">More work is needed to </w:t>
      </w:r>
      <w:r w:rsidR="003D69F0">
        <w:t xml:space="preserve">better </w:t>
      </w:r>
      <w:r w:rsidRPr="00E64D5A">
        <w:t xml:space="preserve">understand different on-farm lime sources, </w:t>
      </w:r>
      <w:r w:rsidR="0020497D">
        <w:t xml:space="preserve">particularly </w:t>
      </w:r>
      <w:r w:rsidRPr="00E64D5A">
        <w:t>how the</w:t>
      </w:r>
      <w:r w:rsidR="003A39D3">
        <w:t>ir</w:t>
      </w:r>
      <w:r w:rsidRPr="00E64D5A">
        <w:t xml:space="preserve"> quality and distance from the coast </w:t>
      </w:r>
      <w:r w:rsidR="003A39D3">
        <w:t>impact on farm</w:t>
      </w:r>
      <w:r w:rsidRPr="00E64D5A">
        <w:t xml:space="preserve"> economic</w:t>
      </w:r>
      <w:r w:rsidR="003A39D3">
        <w:t>s</w:t>
      </w:r>
      <w:r w:rsidRPr="00E64D5A">
        <w:t xml:space="preserve"> </w:t>
      </w:r>
      <w:r w:rsidR="00B2287C" w:rsidRPr="00E64D5A">
        <w:t xml:space="preserve">compared to </w:t>
      </w:r>
      <w:proofErr w:type="spellStart"/>
      <w:r w:rsidR="00B2287C" w:rsidRPr="00E64D5A">
        <w:t>limesand</w:t>
      </w:r>
      <w:proofErr w:type="spellEnd"/>
      <w:r w:rsidR="00B2287C" w:rsidRPr="00E64D5A">
        <w:t xml:space="preserve">. </w:t>
      </w:r>
    </w:p>
    <w:p w14:paraId="6484DC3A" w14:textId="77777777" w:rsidR="000462FC" w:rsidRPr="00330509" w:rsidRDefault="001C5B6E" w:rsidP="008F2638">
      <w:pPr>
        <w:pStyle w:val="Heading2"/>
        <w:rPr>
          <w:color w:val="404040" w:themeColor="text1" w:themeTint="BF"/>
        </w:rPr>
      </w:pPr>
      <w:r w:rsidRPr="00330509">
        <w:rPr>
          <w:color w:val="404040" w:themeColor="text1" w:themeTint="BF"/>
        </w:rPr>
        <w:t>References</w:t>
      </w:r>
    </w:p>
    <w:p w14:paraId="5801793B" w14:textId="77777777" w:rsidR="003D362D" w:rsidRDefault="00236B67" w:rsidP="003D362D">
      <w:pPr>
        <w:rPr>
          <w:rFonts w:cs="Arial"/>
          <w:szCs w:val="20"/>
        </w:rPr>
      </w:pPr>
      <w:r>
        <w:rPr>
          <w:rFonts w:cs="Arial"/>
          <w:szCs w:val="20"/>
        </w:rPr>
        <w:t>The</w:t>
      </w:r>
      <w:r w:rsidR="003D362D">
        <w:rPr>
          <w:rFonts w:cs="Arial"/>
          <w:szCs w:val="20"/>
        </w:rPr>
        <w:t xml:space="preserve"> Liebe Group. (2019). Locating and assessing on-farm lime sources. GRDC Publication.</w:t>
      </w:r>
    </w:p>
    <w:p w14:paraId="4B94B64F" w14:textId="77777777" w:rsidR="000A57ED" w:rsidRPr="000A57ED" w:rsidRDefault="000A57ED" w:rsidP="000462FC">
      <w:pPr>
        <w:rPr>
          <w:rFonts w:cs="Arial"/>
          <w:szCs w:val="20"/>
        </w:rPr>
      </w:pPr>
      <w:r w:rsidRPr="000A57ED">
        <w:rPr>
          <w:rFonts w:cs="Arial"/>
          <w:szCs w:val="20"/>
        </w:rPr>
        <w:t xml:space="preserve">Gazey, C., Davies, S. and Master R. (2014). Soil Acidity: A guide for WA farmers and consultants. </w:t>
      </w:r>
      <w:proofErr w:type="spellStart"/>
      <w:r w:rsidRPr="000A57ED">
        <w:rPr>
          <w:rFonts w:cs="Arial"/>
          <w:szCs w:val="20"/>
        </w:rPr>
        <w:t>Deaprtment</w:t>
      </w:r>
      <w:proofErr w:type="spellEnd"/>
      <w:r w:rsidRPr="000A57ED">
        <w:rPr>
          <w:rFonts w:cs="Arial"/>
          <w:szCs w:val="20"/>
        </w:rPr>
        <w:t xml:space="preserve"> of Agriculture and Food Western Australia. 2</w:t>
      </w:r>
      <w:r w:rsidRPr="000A57ED">
        <w:rPr>
          <w:rFonts w:cs="Arial"/>
          <w:szCs w:val="20"/>
          <w:vertAlign w:val="superscript"/>
        </w:rPr>
        <w:t>nd</w:t>
      </w:r>
      <w:r w:rsidRPr="000A57ED">
        <w:rPr>
          <w:rFonts w:cs="Arial"/>
          <w:szCs w:val="20"/>
        </w:rPr>
        <w:t> Edition.</w:t>
      </w:r>
    </w:p>
    <w:p w14:paraId="2322C16E" w14:textId="77777777" w:rsidR="00330509" w:rsidRPr="00330509" w:rsidRDefault="00330509" w:rsidP="000462FC">
      <w:pPr>
        <w:rPr>
          <w:rFonts w:cs="Arial"/>
          <w:szCs w:val="20"/>
        </w:rPr>
      </w:pPr>
      <w:r w:rsidRPr="000A57ED">
        <w:rPr>
          <w:rFonts w:cs="Arial"/>
          <w:szCs w:val="20"/>
        </w:rPr>
        <w:t xml:space="preserve">Scott, B.J., Conyers, M.K., Fisher, R. and </w:t>
      </w:r>
      <w:proofErr w:type="spellStart"/>
      <w:r w:rsidRPr="000A57ED">
        <w:rPr>
          <w:rFonts w:cs="Arial"/>
          <w:szCs w:val="20"/>
        </w:rPr>
        <w:t>Lill</w:t>
      </w:r>
      <w:proofErr w:type="spellEnd"/>
      <w:r w:rsidRPr="000A57ED">
        <w:rPr>
          <w:rFonts w:cs="Arial"/>
          <w:szCs w:val="20"/>
        </w:rPr>
        <w:t xml:space="preserve">, W. (1992).  Particle size determines the efficiency of </w:t>
      </w:r>
      <w:proofErr w:type="spellStart"/>
      <w:r w:rsidRPr="000A57ED">
        <w:rPr>
          <w:rFonts w:cs="Arial"/>
          <w:szCs w:val="20"/>
        </w:rPr>
        <w:t>calcitic</w:t>
      </w:r>
      <w:proofErr w:type="spellEnd"/>
      <w:r w:rsidRPr="000A57ED">
        <w:rPr>
          <w:rFonts w:cs="Arial"/>
          <w:szCs w:val="20"/>
        </w:rPr>
        <w:t xml:space="preserve"> limestone in amending acidic soil. Aust. J. Agric. Res., 1992</w:t>
      </w:r>
      <w:r w:rsidRPr="00330509">
        <w:rPr>
          <w:rFonts w:cs="Arial"/>
          <w:szCs w:val="20"/>
        </w:rPr>
        <w:t xml:space="preserve">, 43, 1175-1185. </w:t>
      </w:r>
    </w:p>
    <w:p w14:paraId="07634C71" w14:textId="77777777" w:rsidR="00B51EA0" w:rsidRPr="00330509" w:rsidRDefault="003D5A49" w:rsidP="000462FC">
      <w:pPr>
        <w:rPr>
          <w:rFonts w:cs="Arial"/>
          <w:szCs w:val="20"/>
        </w:rPr>
      </w:pPr>
      <w:r>
        <w:rPr>
          <w:rFonts w:cs="Arial"/>
          <w:szCs w:val="20"/>
        </w:rPr>
        <w:t>Peek, C., Sh</w:t>
      </w:r>
      <w:r w:rsidR="00B51EA0" w:rsidRPr="00330509">
        <w:rPr>
          <w:rFonts w:cs="Arial"/>
          <w:szCs w:val="20"/>
        </w:rPr>
        <w:t>e</w:t>
      </w:r>
      <w:r>
        <w:rPr>
          <w:rFonts w:cs="Arial"/>
          <w:szCs w:val="20"/>
        </w:rPr>
        <w:t>a</w:t>
      </w:r>
      <w:r w:rsidR="00B51EA0" w:rsidRPr="00330509">
        <w:rPr>
          <w:rFonts w:cs="Arial"/>
          <w:szCs w:val="20"/>
        </w:rPr>
        <w:t xml:space="preserve">, G., </w:t>
      </w:r>
      <w:proofErr w:type="spellStart"/>
      <w:r w:rsidR="00B51EA0" w:rsidRPr="00330509">
        <w:rPr>
          <w:rFonts w:cs="Arial"/>
          <w:szCs w:val="20"/>
        </w:rPr>
        <w:t>D’Antuono</w:t>
      </w:r>
      <w:proofErr w:type="spellEnd"/>
      <w:r w:rsidR="00B51EA0" w:rsidRPr="00330509">
        <w:rPr>
          <w:rFonts w:cs="Arial"/>
          <w:szCs w:val="20"/>
        </w:rPr>
        <w:t>, M. (2019).  The role of local carbonate sources and cultivation on the acid sandplain in the Eastern Wheatbelt. GRDC research update paper.</w:t>
      </w:r>
    </w:p>
    <w:p w14:paraId="0778365D" w14:textId="77777777" w:rsidR="000462FC" w:rsidRPr="00330509" w:rsidRDefault="000462FC" w:rsidP="000462FC">
      <w:pPr>
        <w:rPr>
          <w:sz w:val="16"/>
        </w:rPr>
      </w:pPr>
      <w:r w:rsidRPr="00330509">
        <w:rPr>
          <w:rFonts w:cs="Arial"/>
          <w:szCs w:val="23"/>
        </w:rPr>
        <w:t xml:space="preserve">Van </w:t>
      </w:r>
      <w:proofErr w:type="spellStart"/>
      <w:r w:rsidRPr="00330509">
        <w:rPr>
          <w:rFonts w:cs="Arial"/>
          <w:szCs w:val="23"/>
        </w:rPr>
        <w:t>Gool</w:t>
      </w:r>
      <w:proofErr w:type="spellEnd"/>
      <w:r w:rsidRPr="00330509">
        <w:rPr>
          <w:rFonts w:cs="Arial"/>
          <w:szCs w:val="23"/>
        </w:rPr>
        <w:t>, D. (2016)</w:t>
      </w:r>
      <w:r w:rsidR="001B584E">
        <w:rPr>
          <w:rFonts w:cs="Arial"/>
          <w:szCs w:val="23"/>
        </w:rPr>
        <w:t>.</w:t>
      </w:r>
      <w:r w:rsidRPr="00330509">
        <w:rPr>
          <w:rFonts w:cs="Arial"/>
          <w:szCs w:val="23"/>
        </w:rPr>
        <w:t xml:space="preserve"> Identifying soil constraints that limit wheat yield in south-west Western Australia. Resource Management Technical Report 399. Department of Agriculture and Food Western Australia</w:t>
      </w:r>
    </w:p>
    <w:p w14:paraId="29CA40D0" w14:textId="77777777" w:rsidR="008C6588" w:rsidRPr="00330509" w:rsidRDefault="003B6DA6" w:rsidP="008F2638">
      <w:pPr>
        <w:pStyle w:val="Heading2"/>
        <w:rPr>
          <w:color w:val="404040" w:themeColor="text1" w:themeTint="BF"/>
        </w:rPr>
      </w:pPr>
      <w:r w:rsidRPr="00330509">
        <w:rPr>
          <w:color w:val="404040" w:themeColor="text1" w:themeTint="BF"/>
        </w:rPr>
        <w:t>A</w:t>
      </w:r>
      <w:r w:rsidR="008C6588" w:rsidRPr="00330509">
        <w:rPr>
          <w:color w:val="404040" w:themeColor="text1" w:themeTint="BF"/>
        </w:rPr>
        <w:t>cknowledgments</w:t>
      </w:r>
    </w:p>
    <w:p w14:paraId="4F2539C9" w14:textId="77777777" w:rsidR="00F5306A" w:rsidRPr="00330509" w:rsidRDefault="00F5306A" w:rsidP="00F5306A">
      <w:r w:rsidRPr="00330509">
        <w:t>The research undertaken as part of this project is made possible by the significant contributions of growers through both trial cooperation and the support of the GRDC, the author would like to thank them for their continued support.</w:t>
      </w:r>
    </w:p>
    <w:p w14:paraId="6226C622" w14:textId="77777777" w:rsidR="003D0FC7" w:rsidRPr="00E64D5A" w:rsidRDefault="00F5306A" w:rsidP="00897B1A">
      <w:r w:rsidRPr="00330509">
        <w:t xml:space="preserve">Thanks to </w:t>
      </w:r>
      <w:r w:rsidR="00791679">
        <w:t>the D</w:t>
      </w:r>
      <w:r w:rsidRPr="00330509">
        <w:t xml:space="preserve">ella </w:t>
      </w:r>
      <w:proofErr w:type="spellStart"/>
      <w:r w:rsidRPr="00330509">
        <w:t>Bosca</w:t>
      </w:r>
      <w:proofErr w:type="spellEnd"/>
      <w:r w:rsidR="00791679">
        <w:t xml:space="preserve"> family</w:t>
      </w:r>
      <w:r w:rsidRPr="00330509">
        <w:t xml:space="preserve"> for hosting,</w:t>
      </w:r>
      <w:r w:rsidR="00816EA4" w:rsidRPr="00330509">
        <w:t xml:space="preserve"> providing one of the local lime sources,</w:t>
      </w:r>
      <w:r w:rsidRPr="00330509">
        <w:t xml:space="preserve"> seeding and in-</w:t>
      </w:r>
      <w:r w:rsidR="00816EA4" w:rsidRPr="00330509">
        <w:t xml:space="preserve">season management of the trial. Thanks to </w:t>
      </w:r>
      <w:r w:rsidR="003D5A49" w:rsidRPr="003D5A49">
        <w:t xml:space="preserve">Hugh Irving and </w:t>
      </w:r>
      <w:r w:rsidR="003D5A49">
        <w:t xml:space="preserve">Brad </w:t>
      </w:r>
      <w:r w:rsidR="003D5A49" w:rsidRPr="003D5A49">
        <w:t>Auld</w:t>
      </w:r>
      <w:r w:rsidR="00816EA4" w:rsidRPr="003D5A49">
        <w:t xml:space="preserve"> for</w:t>
      </w:r>
      <w:r w:rsidR="00816EA4" w:rsidRPr="00330509">
        <w:t xml:space="preserve"> providing limes sources. </w:t>
      </w:r>
      <w:r w:rsidR="00791679">
        <w:lastRenderedPageBreak/>
        <w:t>T</w:t>
      </w:r>
      <w:r w:rsidR="00791679" w:rsidRPr="00E64D5A">
        <w:t>hanks to James Fisher (Desiree Futures) and Jenni Clausen (</w:t>
      </w:r>
      <w:r w:rsidR="0020497D" w:rsidRPr="00E64D5A">
        <w:t>DP</w:t>
      </w:r>
      <w:r w:rsidR="0020497D">
        <w:t>IR</w:t>
      </w:r>
      <w:r w:rsidR="0020497D" w:rsidRPr="00E64D5A">
        <w:t>D</w:t>
      </w:r>
      <w:r w:rsidR="00791679" w:rsidRPr="00E64D5A">
        <w:t>) for assistance with iLime</w:t>
      </w:r>
      <w:r w:rsidR="00791679">
        <w:t>.</w:t>
      </w:r>
      <w:r w:rsidR="00791679" w:rsidRPr="00330509">
        <w:t xml:space="preserve"> </w:t>
      </w:r>
      <w:r w:rsidR="00791679">
        <w:t>Acknowledgment to</w:t>
      </w:r>
      <w:r w:rsidRPr="00E64D5A">
        <w:t xml:space="preserve"> </w:t>
      </w:r>
      <w:r w:rsidR="003D5A49">
        <w:t xml:space="preserve">Glen Riethmuller and </w:t>
      </w:r>
      <w:r w:rsidRPr="00E64D5A">
        <w:t>George Mwenda (</w:t>
      </w:r>
      <w:r w:rsidR="0020497D" w:rsidRPr="00E64D5A">
        <w:t>DP</w:t>
      </w:r>
      <w:r w:rsidR="0020497D">
        <w:t>IR</w:t>
      </w:r>
      <w:r w:rsidR="0020497D" w:rsidRPr="00E64D5A">
        <w:t>D</w:t>
      </w:r>
      <w:r w:rsidRPr="00E64D5A">
        <w:t xml:space="preserve">) for technical assistance throughout </w:t>
      </w:r>
      <w:r w:rsidR="00791679">
        <w:t>the year and</w:t>
      </w:r>
      <w:r w:rsidRPr="00E64D5A">
        <w:t xml:space="preserve"> DPIRD’s Merredin</w:t>
      </w:r>
      <w:r w:rsidR="003D5A49">
        <w:t xml:space="preserve"> RSU</w:t>
      </w:r>
      <w:r w:rsidRPr="00E64D5A">
        <w:t xml:space="preserve"> staff for harvesting the trial.</w:t>
      </w:r>
    </w:p>
    <w:p w14:paraId="048BF8B2" w14:textId="77777777" w:rsidR="003D0FC7" w:rsidRPr="00E64D5A" w:rsidRDefault="003D0FC7" w:rsidP="003D0FC7">
      <w:pPr>
        <w:pStyle w:val="Heading2"/>
        <w:rPr>
          <w:rFonts w:ascii="Calibri" w:hAnsi="Calibri"/>
          <w:color w:val="auto"/>
        </w:rPr>
      </w:pPr>
      <w:r w:rsidRPr="00E64D5A">
        <w:t>Contact details</w:t>
      </w:r>
    </w:p>
    <w:p w14:paraId="08D07F30" w14:textId="77777777" w:rsidR="006200C3" w:rsidRDefault="00F5306A" w:rsidP="00381AC1">
      <w:r w:rsidRPr="00E64D5A">
        <w:t>Ashleigh Donnison</w:t>
      </w:r>
      <w:r w:rsidRPr="00E64D5A">
        <w:br/>
        <w:t xml:space="preserve">Department of Primary </w:t>
      </w:r>
      <w:r w:rsidR="00816EA4" w:rsidRPr="00E64D5A">
        <w:t>Industries</w:t>
      </w:r>
      <w:r w:rsidRPr="00E64D5A">
        <w:t xml:space="preserve"> and Regional Development</w:t>
      </w:r>
      <w:r w:rsidRPr="00E64D5A">
        <w:br/>
        <w:t>1 Mitchell Street Merredin</w:t>
      </w:r>
      <w:r w:rsidRPr="00E64D5A">
        <w:br/>
        <w:t>Ph: 0436 618 467</w:t>
      </w:r>
      <w:r w:rsidR="003D0FC7" w:rsidRPr="00E64D5A">
        <w:br/>
        <w:t xml:space="preserve">Email: </w:t>
      </w:r>
      <w:hyperlink r:id="rId12" w:history="1">
        <w:r w:rsidR="006200C3" w:rsidRPr="00C95F1B">
          <w:rPr>
            <w:rStyle w:val="Hyperlink"/>
          </w:rPr>
          <w:t>ashleigh.donnison@dpird.wa.gov.au</w:t>
        </w:r>
      </w:hyperlink>
    </w:p>
    <w:p w14:paraId="41AC0298" w14:textId="77777777" w:rsidR="006200C3" w:rsidRDefault="006200C3" w:rsidP="006200C3">
      <w:pPr>
        <w:pStyle w:val="Heading2"/>
      </w:pPr>
      <w:r>
        <w:t>Paper Reviewed by</w:t>
      </w:r>
    </w:p>
    <w:p w14:paraId="7EEC56DC" w14:textId="77777777" w:rsidR="006200C3" w:rsidRPr="006200C3" w:rsidRDefault="00E910F0" w:rsidP="006200C3">
      <w:r>
        <w:t xml:space="preserve">Bob French </w:t>
      </w:r>
      <w:r w:rsidR="006200C3">
        <w:t>and Glen Riethmuller (DPIRD)</w:t>
      </w:r>
    </w:p>
    <w:sectPr w:rsidR="006200C3" w:rsidRPr="006200C3" w:rsidSect="00AA0595">
      <w:footerReference w:type="firs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66955" w14:textId="77777777" w:rsidR="003134EA" w:rsidRDefault="003134EA" w:rsidP="00337B8D">
      <w:pPr>
        <w:spacing w:after="0" w:line="240" w:lineRule="auto"/>
      </w:pPr>
      <w:r>
        <w:separator/>
      </w:r>
    </w:p>
  </w:endnote>
  <w:endnote w:type="continuationSeparator" w:id="0">
    <w:p w14:paraId="72F4A139" w14:textId="77777777" w:rsidR="003134EA" w:rsidRDefault="003134EA"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70C7" w14:textId="77777777" w:rsidR="003A39D3" w:rsidRDefault="003A39D3" w:rsidP="00757BF6">
    <w:pPr>
      <w:pStyle w:val="Footer"/>
      <w:tabs>
        <w:tab w:val="left" w:pos="7256"/>
        <w:tab w:val="right" w:pos="10466"/>
      </w:tabs>
    </w:pPr>
    <w:r>
      <w:rPr>
        <w:noProof/>
        <w:lang w:eastAsia="en-AU"/>
      </w:rPr>
      <w:drawing>
        <wp:anchor distT="0" distB="0" distL="114300" distR="114300" simplePos="0" relativeHeight="251658240" behindDoc="0" locked="0" layoutInCell="1" allowOverlap="1" wp14:anchorId="4C629D0B" wp14:editId="7E2F9904">
          <wp:simplePos x="0" y="0"/>
          <wp:positionH relativeFrom="page">
            <wp:align>right</wp:align>
          </wp:positionH>
          <wp:positionV relativeFrom="paragraph">
            <wp:posOffset>-351363</wp:posOffset>
          </wp:positionV>
          <wp:extent cx="1823005" cy="936000"/>
          <wp:effectExtent l="0" t="0" r="6350" b="0"/>
          <wp:wrapThrough wrapText="bothSides">
            <wp:wrapPolygon edited="0">
              <wp:start x="0" y="0"/>
              <wp:lineTo x="0" y="21102"/>
              <wp:lineTo x="21449" y="21102"/>
              <wp:lineTo x="214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DCLogoStacked_CMYK.jpg"/>
                  <pic:cNvPicPr/>
                </pic:nvPicPr>
                <pic:blipFill>
                  <a:blip r:embed="rId1"/>
                  <a:stretch>
                    <a:fillRect/>
                  </a:stretch>
                </pic:blipFill>
                <pic:spPr>
                  <a:xfrm>
                    <a:off x="0" y="0"/>
                    <a:ext cx="1823005" cy="9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5E09" w14:textId="77777777" w:rsidR="003134EA" w:rsidRDefault="003134EA" w:rsidP="00337B8D">
      <w:pPr>
        <w:spacing w:after="0" w:line="240" w:lineRule="auto"/>
      </w:pPr>
      <w:r>
        <w:separator/>
      </w:r>
    </w:p>
  </w:footnote>
  <w:footnote w:type="continuationSeparator" w:id="0">
    <w:p w14:paraId="519D22EE" w14:textId="77777777" w:rsidR="003134EA" w:rsidRDefault="003134EA" w:rsidP="0033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BC8"/>
    <w:multiLevelType w:val="hybridMultilevel"/>
    <w:tmpl w:val="191A5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C36ADE"/>
    <w:multiLevelType w:val="hybridMultilevel"/>
    <w:tmpl w:val="9B2C8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5045A"/>
    <w:multiLevelType w:val="hybridMultilevel"/>
    <w:tmpl w:val="A4027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7B1873"/>
    <w:multiLevelType w:val="hybridMultilevel"/>
    <w:tmpl w:val="B380BB0A"/>
    <w:lvl w:ilvl="0" w:tplc="D082A6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CB2DE9"/>
    <w:multiLevelType w:val="hybridMultilevel"/>
    <w:tmpl w:val="EC2876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8"/>
  </w:num>
  <w:num w:numId="4">
    <w:abstractNumId w:val="6"/>
  </w:num>
  <w:num w:numId="5">
    <w:abstractNumId w:val="18"/>
  </w:num>
  <w:num w:numId="6">
    <w:abstractNumId w:val="14"/>
  </w:num>
  <w:num w:numId="7">
    <w:abstractNumId w:val="2"/>
  </w:num>
  <w:num w:numId="8">
    <w:abstractNumId w:val="10"/>
  </w:num>
  <w:num w:numId="9">
    <w:abstractNumId w:val="7"/>
  </w:num>
  <w:num w:numId="10">
    <w:abstractNumId w:val="17"/>
  </w:num>
  <w:num w:numId="11">
    <w:abstractNumId w:val="15"/>
  </w:num>
  <w:num w:numId="12">
    <w:abstractNumId w:val="9"/>
  </w:num>
  <w:num w:numId="13">
    <w:abstractNumId w:val="16"/>
  </w:num>
  <w:num w:numId="14">
    <w:abstractNumId w:val="3"/>
  </w:num>
  <w:num w:numId="15">
    <w:abstractNumId w:val="5"/>
  </w:num>
  <w:num w:numId="16">
    <w:abstractNumId w:val="0"/>
  </w:num>
  <w:num w:numId="17">
    <w:abstractNumId w:val="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C"/>
    <w:rsid w:val="000005DC"/>
    <w:rsid w:val="00003443"/>
    <w:rsid w:val="00007399"/>
    <w:rsid w:val="0001056C"/>
    <w:rsid w:val="00011A53"/>
    <w:rsid w:val="00037985"/>
    <w:rsid w:val="000426BA"/>
    <w:rsid w:val="000427D3"/>
    <w:rsid w:val="00042DAC"/>
    <w:rsid w:val="00044AAF"/>
    <w:rsid w:val="000462FC"/>
    <w:rsid w:val="00046FF4"/>
    <w:rsid w:val="00050574"/>
    <w:rsid w:val="000608C8"/>
    <w:rsid w:val="00060C19"/>
    <w:rsid w:val="000628D6"/>
    <w:rsid w:val="00063499"/>
    <w:rsid w:val="000675CE"/>
    <w:rsid w:val="00070B7C"/>
    <w:rsid w:val="000729F2"/>
    <w:rsid w:val="00073215"/>
    <w:rsid w:val="000752E2"/>
    <w:rsid w:val="000811A8"/>
    <w:rsid w:val="00084ED8"/>
    <w:rsid w:val="0008625F"/>
    <w:rsid w:val="000862E4"/>
    <w:rsid w:val="00091391"/>
    <w:rsid w:val="00092842"/>
    <w:rsid w:val="00096B09"/>
    <w:rsid w:val="00097468"/>
    <w:rsid w:val="000A0C79"/>
    <w:rsid w:val="000A172E"/>
    <w:rsid w:val="000A49EF"/>
    <w:rsid w:val="000A57ED"/>
    <w:rsid w:val="000B09DC"/>
    <w:rsid w:val="000B368D"/>
    <w:rsid w:val="000C0B9F"/>
    <w:rsid w:val="000C0FBD"/>
    <w:rsid w:val="000C2365"/>
    <w:rsid w:val="000C34AF"/>
    <w:rsid w:val="000C44BF"/>
    <w:rsid w:val="000C4E9B"/>
    <w:rsid w:val="000C5158"/>
    <w:rsid w:val="000C697F"/>
    <w:rsid w:val="000D05EF"/>
    <w:rsid w:val="000D097F"/>
    <w:rsid w:val="000D10A8"/>
    <w:rsid w:val="000D21E6"/>
    <w:rsid w:val="000D2330"/>
    <w:rsid w:val="000D265F"/>
    <w:rsid w:val="000D40E5"/>
    <w:rsid w:val="000D43AF"/>
    <w:rsid w:val="000D74BF"/>
    <w:rsid w:val="000E07C0"/>
    <w:rsid w:val="000E147D"/>
    <w:rsid w:val="000E16BB"/>
    <w:rsid w:val="000E1732"/>
    <w:rsid w:val="000E2EF0"/>
    <w:rsid w:val="000E517B"/>
    <w:rsid w:val="000F6530"/>
    <w:rsid w:val="000F676A"/>
    <w:rsid w:val="00104FE6"/>
    <w:rsid w:val="00111408"/>
    <w:rsid w:val="0011518D"/>
    <w:rsid w:val="001166FA"/>
    <w:rsid w:val="00116736"/>
    <w:rsid w:val="0011764E"/>
    <w:rsid w:val="00117CC0"/>
    <w:rsid w:val="00123D0F"/>
    <w:rsid w:val="00125152"/>
    <w:rsid w:val="00125C47"/>
    <w:rsid w:val="001328B9"/>
    <w:rsid w:val="00134E51"/>
    <w:rsid w:val="001352A4"/>
    <w:rsid w:val="00135755"/>
    <w:rsid w:val="001400E8"/>
    <w:rsid w:val="001406E2"/>
    <w:rsid w:val="00144321"/>
    <w:rsid w:val="0015089C"/>
    <w:rsid w:val="00152906"/>
    <w:rsid w:val="00156255"/>
    <w:rsid w:val="00160E32"/>
    <w:rsid w:val="0016153E"/>
    <w:rsid w:val="00164D31"/>
    <w:rsid w:val="0016502F"/>
    <w:rsid w:val="001667D2"/>
    <w:rsid w:val="0017132B"/>
    <w:rsid w:val="00171EB4"/>
    <w:rsid w:val="001767E7"/>
    <w:rsid w:val="0018363F"/>
    <w:rsid w:val="00183AE2"/>
    <w:rsid w:val="00184F45"/>
    <w:rsid w:val="001861A1"/>
    <w:rsid w:val="001871FE"/>
    <w:rsid w:val="001A1B99"/>
    <w:rsid w:val="001A2305"/>
    <w:rsid w:val="001A4F04"/>
    <w:rsid w:val="001A63A0"/>
    <w:rsid w:val="001A7087"/>
    <w:rsid w:val="001B2CC1"/>
    <w:rsid w:val="001B2D47"/>
    <w:rsid w:val="001B584E"/>
    <w:rsid w:val="001B6B2E"/>
    <w:rsid w:val="001B7074"/>
    <w:rsid w:val="001B7691"/>
    <w:rsid w:val="001C3698"/>
    <w:rsid w:val="001C5B6E"/>
    <w:rsid w:val="001C6081"/>
    <w:rsid w:val="001D6078"/>
    <w:rsid w:val="001E0954"/>
    <w:rsid w:val="001E5445"/>
    <w:rsid w:val="001F0D89"/>
    <w:rsid w:val="001F33EA"/>
    <w:rsid w:val="001F3B76"/>
    <w:rsid w:val="001F3FE7"/>
    <w:rsid w:val="001F422E"/>
    <w:rsid w:val="001F44B3"/>
    <w:rsid w:val="001F6493"/>
    <w:rsid w:val="001F64F7"/>
    <w:rsid w:val="0020497D"/>
    <w:rsid w:val="00206F93"/>
    <w:rsid w:val="00210EFA"/>
    <w:rsid w:val="00214EC2"/>
    <w:rsid w:val="002169CF"/>
    <w:rsid w:val="00217614"/>
    <w:rsid w:val="00220C06"/>
    <w:rsid w:val="00223D64"/>
    <w:rsid w:val="002321F1"/>
    <w:rsid w:val="00234FBD"/>
    <w:rsid w:val="0023571C"/>
    <w:rsid w:val="00236B67"/>
    <w:rsid w:val="00240386"/>
    <w:rsid w:val="00240FFF"/>
    <w:rsid w:val="002420EB"/>
    <w:rsid w:val="002465A4"/>
    <w:rsid w:val="00247C30"/>
    <w:rsid w:val="00252ACF"/>
    <w:rsid w:val="0025563E"/>
    <w:rsid w:val="00257DB9"/>
    <w:rsid w:val="00257E0E"/>
    <w:rsid w:val="0026034E"/>
    <w:rsid w:val="00260EAF"/>
    <w:rsid w:val="00264986"/>
    <w:rsid w:val="0026659C"/>
    <w:rsid w:val="002714D8"/>
    <w:rsid w:val="00273B23"/>
    <w:rsid w:val="00274D95"/>
    <w:rsid w:val="002752AB"/>
    <w:rsid w:val="002771A9"/>
    <w:rsid w:val="0029530A"/>
    <w:rsid w:val="002962F7"/>
    <w:rsid w:val="002A05CB"/>
    <w:rsid w:val="002A1303"/>
    <w:rsid w:val="002A29B4"/>
    <w:rsid w:val="002A2DBC"/>
    <w:rsid w:val="002A3E0E"/>
    <w:rsid w:val="002A4F1C"/>
    <w:rsid w:val="002A6361"/>
    <w:rsid w:val="002C19C4"/>
    <w:rsid w:val="002C3135"/>
    <w:rsid w:val="002C40A3"/>
    <w:rsid w:val="002C785E"/>
    <w:rsid w:val="002D3B9A"/>
    <w:rsid w:val="002D406F"/>
    <w:rsid w:val="002D551D"/>
    <w:rsid w:val="002D682E"/>
    <w:rsid w:val="002E1094"/>
    <w:rsid w:val="002E147E"/>
    <w:rsid w:val="002E30EA"/>
    <w:rsid w:val="002E44E8"/>
    <w:rsid w:val="002E69F6"/>
    <w:rsid w:val="002E7C14"/>
    <w:rsid w:val="002F5260"/>
    <w:rsid w:val="003002B2"/>
    <w:rsid w:val="00300D9F"/>
    <w:rsid w:val="0030665B"/>
    <w:rsid w:val="003134EA"/>
    <w:rsid w:val="00313D1D"/>
    <w:rsid w:val="0031755D"/>
    <w:rsid w:val="00320093"/>
    <w:rsid w:val="00322AB3"/>
    <w:rsid w:val="003259EB"/>
    <w:rsid w:val="00326034"/>
    <w:rsid w:val="00330509"/>
    <w:rsid w:val="00332C7F"/>
    <w:rsid w:val="003333D8"/>
    <w:rsid w:val="0033395D"/>
    <w:rsid w:val="00334A7C"/>
    <w:rsid w:val="003351B7"/>
    <w:rsid w:val="00337B8D"/>
    <w:rsid w:val="0034300E"/>
    <w:rsid w:val="003467D5"/>
    <w:rsid w:val="00350618"/>
    <w:rsid w:val="0035182B"/>
    <w:rsid w:val="00353E1E"/>
    <w:rsid w:val="003564F1"/>
    <w:rsid w:val="00360B59"/>
    <w:rsid w:val="003648CD"/>
    <w:rsid w:val="00365BF3"/>
    <w:rsid w:val="00366680"/>
    <w:rsid w:val="00371239"/>
    <w:rsid w:val="003812AB"/>
    <w:rsid w:val="003814B2"/>
    <w:rsid w:val="00381AC1"/>
    <w:rsid w:val="00381BB1"/>
    <w:rsid w:val="00382492"/>
    <w:rsid w:val="00382D55"/>
    <w:rsid w:val="003842E7"/>
    <w:rsid w:val="00390717"/>
    <w:rsid w:val="00390EAD"/>
    <w:rsid w:val="00391581"/>
    <w:rsid w:val="003921EF"/>
    <w:rsid w:val="00392B47"/>
    <w:rsid w:val="00397CE7"/>
    <w:rsid w:val="003A1EF9"/>
    <w:rsid w:val="003A327A"/>
    <w:rsid w:val="003A39D3"/>
    <w:rsid w:val="003A7807"/>
    <w:rsid w:val="003A794F"/>
    <w:rsid w:val="003B31ED"/>
    <w:rsid w:val="003B568D"/>
    <w:rsid w:val="003B5B41"/>
    <w:rsid w:val="003B5F6B"/>
    <w:rsid w:val="003B6DA6"/>
    <w:rsid w:val="003C1436"/>
    <w:rsid w:val="003C1766"/>
    <w:rsid w:val="003C25E4"/>
    <w:rsid w:val="003C532C"/>
    <w:rsid w:val="003D0FC7"/>
    <w:rsid w:val="003D2721"/>
    <w:rsid w:val="003D362D"/>
    <w:rsid w:val="003D5492"/>
    <w:rsid w:val="003D5A49"/>
    <w:rsid w:val="003D69F0"/>
    <w:rsid w:val="003D7050"/>
    <w:rsid w:val="003D76BE"/>
    <w:rsid w:val="003E1C52"/>
    <w:rsid w:val="003E56B9"/>
    <w:rsid w:val="003E6D0C"/>
    <w:rsid w:val="003E711B"/>
    <w:rsid w:val="003E7B06"/>
    <w:rsid w:val="003F0604"/>
    <w:rsid w:val="003F0CF0"/>
    <w:rsid w:val="003F268E"/>
    <w:rsid w:val="003F288C"/>
    <w:rsid w:val="003F34C9"/>
    <w:rsid w:val="003F75A7"/>
    <w:rsid w:val="00401A88"/>
    <w:rsid w:val="00401C63"/>
    <w:rsid w:val="00402ECE"/>
    <w:rsid w:val="00404AD1"/>
    <w:rsid w:val="00406466"/>
    <w:rsid w:val="00406D6D"/>
    <w:rsid w:val="004104BD"/>
    <w:rsid w:val="00411620"/>
    <w:rsid w:val="00411691"/>
    <w:rsid w:val="0041316D"/>
    <w:rsid w:val="00415CE8"/>
    <w:rsid w:val="0041613D"/>
    <w:rsid w:val="00417DBE"/>
    <w:rsid w:val="00417E79"/>
    <w:rsid w:val="004208F0"/>
    <w:rsid w:val="00421212"/>
    <w:rsid w:val="00422961"/>
    <w:rsid w:val="0042325E"/>
    <w:rsid w:val="00424562"/>
    <w:rsid w:val="00425119"/>
    <w:rsid w:val="0042650B"/>
    <w:rsid w:val="00431C53"/>
    <w:rsid w:val="00432B5C"/>
    <w:rsid w:val="00437C1C"/>
    <w:rsid w:val="004423F3"/>
    <w:rsid w:val="004434EF"/>
    <w:rsid w:val="004435C8"/>
    <w:rsid w:val="00452B77"/>
    <w:rsid w:val="00453182"/>
    <w:rsid w:val="00457538"/>
    <w:rsid w:val="004602AD"/>
    <w:rsid w:val="00461922"/>
    <w:rsid w:val="00463B38"/>
    <w:rsid w:val="00465F21"/>
    <w:rsid w:val="00471FBA"/>
    <w:rsid w:val="00472ABF"/>
    <w:rsid w:val="00473657"/>
    <w:rsid w:val="00474400"/>
    <w:rsid w:val="00477560"/>
    <w:rsid w:val="00481961"/>
    <w:rsid w:val="00482B15"/>
    <w:rsid w:val="004846AA"/>
    <w:rsid w:val="00485B2A"/>
    <w:rsid w:val="00486A06"/>
    <w:rsid w:val="00490E2E"/>
    <w:rsid w:val="00492595"/>
    <w:rsid w:val="00495D0A"/>
    <w:rsid w:val="00497440"/>
    <w:rsid w:val="0049796C"/>
    <w:rsid w:val="004A05D6"/>
    <w:rsid w:val="004A1D2B"/>
    <w:rsid w:val="004A5F9A"/>
    <w:rsid w:val="004B06AE"/>
    <w:rsid w:val="004B5E91"/>
    <w:rsid w:val="004B6B78"/>
    <w:rsid w:val="004B7658"/>
    <w:rsid w:val="004C311A"/>
    <w:rsid w:val="004C350A"/>
    <w:rsid w:val="004C49BB"/>
    <w:rsid w:val="004C5A01"/>
    <w:rsid w:val="004C6C9F"/>
    <w:rsid w:val="004D0CA9"/>
    <w:rsid w:val="004D1138"/>
    <w:rsid w:val="004D153E"/>
    <w:rsid w:val="004D18B9"/>
    <w:rsid w:val="004D369A"/>
    <w:rsid w:val="004D3B83"/>
    <w:rsid w:val="004D5328"/>
    <w:rsid w:val="004D5C1D"/>
    <w:rsid w:val="004D61F3"/>
    <w:rsid w:val="004D6C42"/>
    <w:rsid w:val="004E423B"/>
    <w:rsid w:val="004F0C79"/>
    <w:rsid w:val="004F3444"/>
    <w:rsid w:val="004F4955"/>
    <w:rsid w:val="004F4C0B"/>
    <w:rsid w:val="004F7B8D"/>
    <w:rsid w:val="00500B59"/>
    <w:rsid w:val="00501D6F"/>
    <w:rsid w:val="0050267A"/>
    <w:rsid w:val="00507C83"/>
    <w:rsid w:val="00507EA9"/>
    <w:rsid w:val="00511EDE"/>
    <w:rsid w:val="005127DE"/>
    <w:rsid w:val="00512979"/>
    <w:rsid w:val="00512EA1"/>
    <w:rsid w:val="005206AB"/>
    <w:rsid w:val="0052160B"/>
    <w:rsid w:val="005218EB"/>
    <w:rsid w:val="005224EE"/>
    <w:rsid w:val="005228FE"/>
    <w:rsid w:val="00522A4F"/>
    <w:rsid w:val="00522ADB"/>
    <w:rsid w:val="00523D8A"/>
    <w:rsid w:val="00530BF6"/>
    <w:rsid w:val="00533F7B"/>
    <w:rsid w:val="00533FC4"/>
    <w:rsid w:val="005418DF"/>
    <w:rsid w:val="0054285E"/>
    <w:rsid w:val="00543A93"/>
    <w:rsid w:val="00544206"/>
    <w:rsid w:val="0054466F"/>
    <w:rsid w:val="00545B2E"/>
    <w:rsid w:val="00545B31"/>
    <w:rsid w:val="00550BD7"/>
    <w:rsid w:val="00554627"/>
    <w:rsid w:val="00554DF9"/>
    <w:rsid w:val="00556A62"/>
    <w:rsid w:val="00557C25"/>
    <w:rsid w:val="005607DC"/>
    <w:rsid w:val="00560D5F"/>
    <w:rsid w:val="00561F7A"/>
    <w:rsid w:val="00562E26"/>
    <w:rsid w:val="005665BC"/>
    <w:rsid w:val="00573014"/>
    <w:rsid w:val="00573EB4"/>
    <w:rsid w:val="00574B21"/>
    <w:rsid w:val="005756B6"/>
    <w:rsid w:val="0057626A"/>
    <w:rsid w:val="00576276"/>
    <w:rsid w:val="00576829"/>
    <w:rsid w:val="00577317"/>
    <w:rsid w:val="00582FEF"/>
    <w:rsid w:val="00584BA4"/>
    <w:rsid w:val="0059068B"/>
    <w:rsid w:val="00590706"/>
    <w:rsid w:val="005916B9"/>
    <w:rsid w:val="00592C65"/>
    <w:rsid w:val="00593697"/>
    <w:rsid w:val="00593B9B"/>
    <w:rsid w:val="00593FD0"/>
    <w:rsid w:val="00593FE5"/>
    <w:rsid w:val="00596D95"/>
    <w:rsid w:val="005A02C4"/>
    <w:rsid w:val="005B0200"/>
    <w:rsid w:val="005B1514"/>
    <w:rsid w:val="005B444E"/>
    <w:rsid w:val="005B7DD6"/>
    <w:rsid w:val="005C0B9A"/>
    <w:rsid w:val="005C0D0D"/>
    <w:rsid w:val="005C1890"/>
    <w:rsid w:val="005C2711"/>
    <w:rsid w:val="005C37E7"/>
    <w:rsid w:val="005C5511"/>
    <w:rsid w:val="005C688E"/>
    <w:rsid w:val="005D0257"/>
    <w:rsid w:val="005D02C5"/>
    <w:rsid w:val="005D08BF"/>
    <w:rsid w:val="005D2F2E"/>
    <w:rsid w:val="005D442B"/>
    <w:rsid w:val="005D7136"/>
    <w:rsid w:val="005E276C"/>
    <w:rsid w:val="005E4DDE"/>
    <w:rsid w:val="005F0357"/>
    <w:rsid w:val="005F0C06"/>
    <w:rsid w:val="005F61EE"/>
    <w:rsid w:val="005F6617"/>
    <w:rsid w:val="00600C8C"/>
    <w:rsid w:val="006033F3"/>
    <w:rsid w:val="006034DC"/>
    <w:rsid w:val="00604C77"/>
    <w:rsid w:val="00611453"/>
    <w:rsid w:val="00612B7F"/>
    <w:rsid w:val="00615C72"/>
    <w:rsid w:val="00616DBA"/>
    <w:rsid w:val="006200C3"/>
    <w:rsid w:val="006214CC"/>
    <w:rsid w:val="00622B88"/>
    <w:rsid w:val="00622B89"/>
    <w:rsid w:val="006237B1"/>
    <w:rsid w:val="00623CFE"/>
    <w:rsid w:val="00627CF1"/>
    <w:rsid w:val="0063009C"/>
    <w:rsid w:val="00630863"/>
    <w:rsid w:val="00631318"/>
    <w:rsid w:val="00632CEE"/>
    <w:rsid w:val="00634CBF"/>
    <w:rsid w:val="00641145"/>
    <w:rsid w:val="006414C2"/>
    <w:rsid w:val="00641F6B"/>
    <w:rsid w:val="00642BCB"/>
    <w:rsid w:val="00647804"/>
    <w:rsid w:val="00647BA9"/>
    <w:rsid w:val="006511F0"/>
    <w:rsid w:val="00654B47"/>
    <w:rsid w:val="006615D0"/>
    <w:rsid w:val="00663CAC"/>
    <w:rsid w:val="00663D71"/>
    <w:rsid w:val="00670D8F"/>
    <w:rsid w:val="006729DC"/>
    <w:rsid w:val="0067355E"/>
    <w:rsid w:val="0067364E"/>
    <w:rsid w:val="00675529"/>
    <w:rsid w:val="00675BF7"/>
    <w:rsid w:val="00676791"/>
    <w:rsid w:val="00682727"/>
    <w:rsid w:val="006858DF"/>
    <w:rsid w:val="0068703A"/>
    <w:rsid w:val="00690F60"/>
    <w:rsid w:val="006927C9"/>
    <w:rsid w:val="006962C1"/>
    <w:rsid w:val="00697522"/>
    <w:rsid w:val="006976AC"/>
    <w:rsid w:val="006A2427"/>
    <w:rsid w:val="006A4722"/>
    <w:rsid w:val="006A4A0B"/>
    <w:rsid w:val="006A5477"/>
    <w:rsid w:val="006A6E89"/>
    <w:rsid w:val="006B28A1"/>
    <w:rsid w:val="006B38D6"/>
    <w:rsid w:val="006B6CCD"/>
    <w:rsid w:val="006B7352"/>
    <w:rsid w:val="006C00CC"/>
    <w:rsid w:val="006C1846"/>
    <w:rsid w:val="006C4883"/>
    <w:rsid w:val="006C4C3B"/>
    <w:rsid w:val="006C5D07"/>
    <w:rsid w:val="006C73F1"/>
    <w:rsid w:val="006D06A6"/>
    <w:rsid w:val="006D4FF4"/>
    <w:rsid w:val="006D715F"/>
    <w:rsid w:val="006E1E92"/>
    <w:rsid w:val="006E2FC7"/>
    <w:rsid w:val="006E6DE0"/>
    <w:rsid w:val="006F33B3"/>
    <w:rsid w:val="00700F03"/>
    <w:rsid w:val="007010D9"/>
    <w:rsid w:val="00702C01"/>
    <w:rsid w:val="00704E03"/>
    <w:rsid w:val="007050CA"/>
    <w:rsid w:val="00705CFB"/>
    <w:rsid w:val="00706781"/>
    <w:rsid w:val="00710128"/>
    <w:rsid w:val="007120B7"/>
    <w:rsid w:val="00712E47"/>
    <w:rsid w:val="00715F0B"/>
    <w:rsid w:val="00722A96"/>
    <w:rsid w:val="00727F89"/>
    <w:rsid w:val="00730156"/>
    <w:rsid w:val="00732A51"/>
    <w:rsid w:val="00740BAB"/>
    <w:rsid w:val="00741F31"/>
    <w:rsid w:val="00742888"/>
    <w:rsid w:val="00742E9C"/>
    <w:rsid w:val="00743102"/>
    <w:rsid w:val="007440D1"/>
    <w:rsid w:val="007450BB"/>
    <w:rsid w:val="007460A3"/>
    <w:rsid w:val="00751191"/>
    <w:rsid w:val="00753D03"/>
    <w:rsid w:val="0075721F"/>
    <w:rsid w:val="00757BF6"/>
    <w:rsid w:val="00757FA2"/>
    <w:rsid w:val="00761627"/>
    <w:rsid w:val="00762B4E"/>
    <w:rsid w:val="00763CC9"/>
    <w:rsid w:val="007666AA"/>
    <w:rsid w:val="007667CC"/>
    <w:rsid w:val="00766C8D"/>
    <w:rsid w:val="00776BE8"/>
    <w:rsid w:val="00782E90"/>
    <w:rsid w:val="00785A6E"/>
    <w:rsid w:val="00787B7E"/>
    <w:rsid w:val="00791679"/>
    <w:rsid w:val="00797FB4"/>
    <w:rsid w:val="007A0153"/>
    <w:rsid w:val="007A0E21"/>
    <w:rsid w:val="007A2518"/>
    <w:rsid w:val="007A3656"/>
    <w:rsid w:val="007A3F1F"/>
    <w:rsid w:val="007A449D"/>
    <w:rsid w:val="007A6B63"/>
    <w:rsid w:val="007B49E0"/>
    <w:rsid w:val="007B6648"/>
    <w:rsid w:val="007C2F54"/>
    <w:rsid w:val="007C3D93"/>
    <w:rsid w:val="007C49F0"/>
    <w:rsid w:val="007C4BF2"/>
    <w:rsid w:val="007C75C1"/>
    <w:rsid w:val="007D05EC"/>
    <w:rsid w:val="007D4ACF"/>
    <w:rsid w:val="007E1B20"/>
    <w:rsid w:val="007E3DA7"/>
    <w:rsid w:val="007E68C6"/>
    <w:rsid w:val="007F0AC0"/>
    <w:rsid w:val="007F1803"/>
    <w:rsid w:val="007F4B3F"/>
    <w:rsid w:val="007F4D79"/>
    <w:rsid w:val="007F4F3B"/>
    <w:rsid w:val="007F556D"/>
    <w:rsid w:val="007F612F"/>
    <w:rsid w:val="008146F4"/>
    <w:rsid w:val="00816EA4"/>
    <w:rsid w:val="00820A34"/>
    <w:rsid w:val="00822117"/>
    <w:rsid w:val="00825131"/>
    <w:rsid w:val="0083047B"/>
    <w:rsid w:val="00831AFB"/>
    <w:rsid w:val="0083227C"/>
    <w:rsid w:val="008360BB"/>
    <w:rsid w:val="008361A2"/>
    <w:rsid w:val="00840813"/>
    <w:rsid w:val="008434DE"/>
    <w:rsid w:val="0084494D"/>
    <w:rsid w:val="0084514F"/>
    <w:rsid w:val="0084577C"/>
    <w:rsid w:val="00852B0C"/>
    <w:rsid w:val="00854C81"/>
    <w:rsid w:val="00855673"/>
    <w:rsid w:val="008575DE"/>
    <w:rsid w:val="008629D0"/>
    <w:rsid w:val="008634FB"/>
    <w:rsid w:val="00866885"/>
    <w:rsid w:val="0087643F"/>
    <w:rsid w:val="008766E6"/>
    <w:rsid w:val="008821B0"/>
    <w:rsid w:val="00882424"/>
    <w:rsid w:val="0088601E"/>
    <w:rsid w:val="008926FE"/>
    <w:rsid w:val="00893DCC"/>
    <w:rsid w:val="00894B11"/>
    <w:rsid w:val="00897B1A"/>
    <w:rsid w:val="008A3AEE"/>
    <w:rsid w:val="008A3B65"/>
    <w:rsid w:val="008A4DE8"/>
    <w:rsid w:val="008A7053"/>
    <w:rsid w:val="008A7E99"/>
    <w:rsid w:val="008B3C34"/>
    <w:rsid w:val="008B620E"/>
    <w:rsid w:val="008C2EB5"/>
    <w:rsid w:val="008C3A51"/>
    <w:rsid w:val="008C6588"/>
    <w:rsid w:val="008D141B"/>
    <w:rsid w:val="008D2909"/>
    <w:rsid w:val="008D674D"/>
    <w:rsid w:val="008E3D0C"/>
    <w:rsid w:val="008E421C"/>
    <w:rsid w:val="008E4543"/>
    <w:rsid w:val="008E5783"/>
    <w:rsid w:val="008E5BBC"/>
    <w:rsid w:val="008E6A7B"/>
    <w:rsid w:val="008F2638"/>
    <w:rsid w:val="008F339D"/>
    <w:rsid w:val="008F6926"/>
    <w:rsid w:val="009030A8"/>
    <w:rsid w:val="00903B11"/>
    <w:rsid w:val="00905BB9"/>
    <w:rsid w:val="00906EAB"/>
    <w:rsid w:val="00910806"/>
    <w:rsid w:val="009111CC"/>
    <w:rsid w:val="00911E8F"/>
    <w:rsid w:val="009138EC"/>
    <w:rsid w:val="00917755"/>
    <w:rsid w:val="00917FEC"/>
    <w:rsid w:val="009212A0"/>
    <w:rsid w:val="00923F80"/>
    <w:rsid w:val="0093103B"/>
    <w:rsid w:val="009315CD"/>
    <w:rsid w:val="00931EED"/>
    <w:rsid w:val="00933FE7"/>
    <w:rsid w:val="00935040"/>
    <w:rsid w:val="009350D7"/>
    <w:rsid w:val="00940195"/>
    <w:rsid w:val="00940AB9"/>
    <w:rsid w:val="00941D8D"/>
    <w:rsid w:val="00943105"/>
    <w:rsid w:val="00943CBB"/>
    <w:rsid w:val="009472A4"/>
    <w:rsid w:val="009562EC"/>
    <w:rsid w:val="009640DD"/>
    <w:rsid w:val="00964A59"/>
    <w:rsid w:val="009677B7"/>
    <w:rsid w:val="00970C14"/>
    <w:rsid w:val="00984B2B"/>
    <w:rsid w:val="00984C10"/>
    <w:rsid w:val="00986371"/>
    <w:rsid w:val="00987182"/>
    <w:rsid w:val="00992D73"/>
    <w:rsid w:val="009938E2"/>
    <w:rsid w:val="009955CE"/>
    <w:rsid w:val="009956BD"/>
    <w:rsid w:val="00995C3D"/>
    <w:rsid w:val="009974BD"/>
    <w:rsid w:val="00997D1B"/>
    <w:rsid w:val="009A0BF5"/>
    <w:rsid w:val="009A1740"/>
    <w:rsid w:val="009B0698"/>
    <w:rsid w:val="009B0793"/>
    <w:rsid w:val="009B4838"/>
    <w:rsid w:val="009B5D4E"/>
    <w:rsid w:val="009B6E62"/>
    <w:rsid w:val="009C0960"/>
    <w:rsid w:val="009C0FE3"/>
    <w:rsid w:val="009C1048"/>
    <w:rsid w:val="009C1890"/>
    <w:rsid w:val="009C5264"/>
    <w:rsid w:val="009C55A0"/>
    <w:rsid w:val="009C5E97"/>
    <w:rsid w:val="009D3947"/>
    <w:rsid w:val="009D4F6A"/>
    <w:rsid w:val="009D5DB6"/>
    <w:rsid w:val="009D6097"/>
    <w:rsid w:val="009D6F54"/>
    <w:rsid w:val="009E0AB3"/>
    <w:rsid w:val="009E0DCA"/>
    <w:rsid w:val="009E2614"/>
    <w:rsid w:val="009E4D4E"/>
    <w:rsid w:val="009E4EDB"/>
    <w:rsid w:val="009E549E"/>
    <w:rsid w:val="009E6894"/>
    <w:rsid w:val="009F0AE2"/>
    <w:rsid w:val="009F55B1"/>
    <w:rsid w:val="009F5680"/>
    <w:rsid w:val="009F6159"/>
    <w:rsid w:val="009F65A9"/>
    <w:rsid w:val="009F70B9"/>
    <w:rsid w:val="009F7C72"/>
    <w:rsid w:val="00A00139"/>
    <w:rsid w:val="00A00C87"/>
    <w:rsid w:val="00A02D96"/>
    <w:rsid w:val="00A03943"/>
    <w:rsid w:val="00A0469F"/>
    <w:rsid w:val="00A10464"/>
    <w:rsid w:val="00A115DA"/>
    <w:rsid w:val="00A13421"/>
    <w:rsid w:val="00A14CDC"/>
    <w:rsid w:val="00A1527C"/>
    <w:rsid w:val="00A205BB"/>
    <w:rsid w:val="00A24EAA"/>
    <w:rsid w:val="00A27DBE"/>
    <w:rsid w:val="00A30CEB"/>
    <w:rsid w:val="00A32033"/>
    <w:rsid w:val="00A32129"/>
    <w:rsid w:val="00A3750E"/>
    <w:rsid w:val="00A424DC"/>
    <w:rsid w:val="00A42F6A"/>
    <w:rsid w:val="00A44DDD"/>
    <w:rsid w:val="00A470B1"/>
    <w:rsid w:val="00A52296"/>
    <w:rsid w:val="00A526DB"/>
    <w:rsid w:val="00A52835"/>
    <w:rsid w:val="00A540EB"/>
    <w:rsid w:val="00A55833"/>
    <w:rsid w:val="00A569A7"/>
    <w:rsid w:val="00A6377A"/>
    <w:rsid w:val="00A665FD"/>
    <w:rsid w:val="00A677A8"/>
    <w:rsid w:val="00A715A4"/>
    <w:rsid w:val="00A7393F"/>
    <w:rsid w:val="00A74DA3"/>
    <w:rsid w:val="00A768EC"/>
    <w:rsid w:val="00A776D9"/>
    <w:rsid w:val="00A77744"/>
    <w:rsid w:val="00A8002B"/>
    <w:rsid w:val="00A81CC8"/>
    <w:rsid w:val="00A87737"/>
    <w:rsid w:val="00A87836"/>
    <w:rsid w:val="00A942B6"/>
    <w:rsid w:val="00A97DC6"/>
    <w:rsid w:val="00AA0595"/>
    <w:rsid w:val="00AA1FDF"/>
    <w:rsid w:val="00AA31BE"/>
    <w:rsid w:val="00AA338C"/>
    <w:rsid w:val="00AA710C"/>
    <w:rsid w:val="00AB002A"/>
    <w:rsid w:val="00AB0CD7"/>
    <w:rsid w:val="00AB1E18"/>
    <w:rsid w:val="00AB2D37"/>
    <w:rsid w:val="00AC27C9"/>
    <w:rsid w:val="00AC46DB"/>
    <w:rsid w:val="00AC4A37"/>
    <w:rsid w:val="00AC67E4"/>
    <w:rsid w:val="00AC67F4"/>
    <w:rsid w:val="00AD106A"/>
    <w:rsid w:val="00AE07A3"/>
    <w:rsid w:val="00AE10F8"/>
    <w:rsid w:val="00AE1AA6"/>
    <w:rsid w:val="00AE345C"/>
    <w:rsid w:val="00AE4766"/>
    <w:rsid w:val="00AE4C50"/>
    <w:rsid w:val="00AE4C83"/>
    <w:rsid w:val="00AE5840"/>
    <w:rsid w:val="00AE6307"/>
    <w:rsid w:val="00AE655E"/>
    <w:rsid w:val="00AF0BAD"/>
    <w:rsid w:val="00AF2E77"/>
    <w:rsid w:val="00AF3963"/>
    <w:rsid w:val="00AF3C16"/>
    <w:rsid w:val="00AF61BF"/>
    <w:rsid w:val="00AF628F"/>
    <w:rsid w:val="00AF749D"/>
    <w:rsid w:val="00AF75E8"/>
    <w:rsid w:val="00AF7DDF"/>
    <w:rsid w:val="00B021D6"/>
    <w:rsid w:val="00B027FE"/>
    <w:rsid w:val="00B02FD6"/>
    <w:rsid w:val="00B05023"/>
    <w:rsid w:val="00B14B24"/>
    <w:rsid w:val="00B15501"/>
    <w:rsid w:val="00B15C37"/>
    <w:rsid w:val="00B16469"/>
    <w:rsid w:val="00B20031"/>
    <w:rsid w:val="00B2287C"/>
    <w:rsid w:val="00B22BB8"/>
    <w:rsid w:val="00B240E3"/>
    <w:rsid w:val="00B242FF"/>
    <w:rsid w:val="00B25D07"/>
    <w:rsid w:val="00B273D4"/>
    <w:rsid w:val="00B278B6"/>
    <w:rsid w:val="00B311BE"/>
    <w:rsid w:val="00B3269C"/>
    <w:rsid w:val="00B36C3D"/>
    <w:rsid w:val="00B422F1"/>
    <w:rsid w:val="00B436FE"/>
    <w:rsid w:val="00B472B4"/>
    <w:rsid w:val="00B51EA0"/>
    <w:rsid w:val="00B53BB3"/>
    <w:rsid w:val="00B56FFF"/>
    <w:rsid w:val="00B570E4"/>
    <w:rsid w:val="00B5792A"/>
    <w:rsid w:val="00B61F65"/>
    <w:rsid w:val="00B656B1"/>
    <w:rsid w:val="00B7103C"/>
    <w:rsid w:val="00B716D8"/>
    <w:rsid w:val="00B72DDE"/>
    <w:rsid w:val="00B7475E"/>
    <w:rsid w:val="00B75E63"/>
    <w:rsid w:val="00B81C43"/>
    <w:rsid w:val="00B82381"/>
    <w:rsid w:val="00B84C08"/>
    <w:rsid w:val="00B86B02"/>
    <w:rsid w:val="00B90E95"/>
    <w:rsid w:val="00B912F4"/>
    <w:rsid w:val="00B91C4C"/>
    <w:rsid w:val="00B922A6"/>
    <w:rsid w:val="00B93506"/>
    <w:rsid w:val="00B93C29"/>
    <w:rsid w:val="00B94EEC"/>
    <w:rsid w:val="00BA0672"/>
    <w:rsid w:val="00BA3627"/>
    <w:rsid w:val="00BA403E"/>
    <w:rsid w:val="00BA5608"/>
    <w:rsid w:val="00BA7D3F"/>
    <w:rsid w:val="00BB3EC7"/>
    <w:rsid w:val="00BB748B"/>
    <w:rsid w:val="00BC37EF"/>
    <w:rsid w:val="00BC41C6"/>
    <w:rsid w:val="00BC5EB4"/>
    <w:rsid w:val="00BC6175"/>
    <w:rsid w:val="00BC6C20"/>
    <w:rsid w:val="00BC7E5B"/>
    <w:rsid w:val="00BD008A"/>
    <w:rsid w:val="00BD01E4"/>
    <w:rsid w:val="00BD08C5"/>
    <w:rsid w:val="00BD4A0C"/>
    <w:rsid w:val="00BD4C17"/>
    <w:rsid w:val="00BD7392"/>
    <w:rsid w:val="00BE55DF"/>
    <w:rsid w:val="00BE58C6"/>
    <w:rsid w:val="00BE634D"/>
    <w:rsid w:val="00BE6CD4"/>
    <w:rsid w:val="00BF1E8A"/>
    <w:rsid w:val="00BF1FA7"/>
    <w:rsid w:val="00BF3459"/>
    <w:rsid w:val="00BF405B"/>
    <w:rsid w:val="00BF752E"/>
    <w:rsid w:val="00BF7D30"/>
    <w:rsid w:val="00C02291"/>
    <w:rsid w:val="00C027DA"/>
    <w:rsid w:val="00C0543C"/>
    <w:rsid w:val="00C05F66"/>
    <w:rsid w:val="00C12D17"/>
    <w:rsid w:val="00C13E6C"/>
    <w:rsid w:val="00C1562C"/>
    <w:rsid w:val="00C17A0E"/>
    <w:rsid w:val="00C17E20"/>
    <w:rsid w:val="00C25CF3"/>
    <w:rsid w:val="00C27828"/>
    <w:rsid w:val="00C32B12"/>
    <w:rsid w:val="00C361F9"/>
    <w:rsid w:val="00C440E4"/>
    <w:rsid w:val="00C476C4"/>
    <w:rsid w:val="00C50B87"/>
    <w:rsid w:val="00C51CEF"/>
    <w:rsid w:val="00C54FEC"/>
    <w:rsid w:val="00C56353"/>
    <w:rsid w:val="00C57121"/>
    <w:rsid w:val="00C6043D"/>
    <w:rsid w:val="00C60C67"/>
    <w:rsid w:val="00C60F25"/>
    <w:rsid w:val="00C61FAA"/>
    <w:rsid w:val="00C62331"/>
    <w:rsid w:val="00C62EF6"/>
    <w:rsid w:val="00C630A5"/>
    <w:rsid w:val="00C647F3"/>
    <w:rsid w:val="00C650C1"/>
    <w:rsid w:val="00C66B53"/>
    <w:rsid w:val="00C66D03"/>
    <w:rsid w:val="00C67E4E"/>
    <w:rsid w:val="00C71063"/>
    <w:rsid w:val="00C71462"/>
    <w:rsid w:val="00C738F0"/>
    <w:rsid w:val="00C74954"/>
    <w:rsid w:val="00C80669"/>
    <w:rsid w:val="00C83718"/>
    <w:rsid w:val="00C8389A"/>
    <w:rsid w:val="00C83A61"/>
    <w:rsid w:val="00C934B7"/>
    <w:rsid w:val="00C93989"/>
    <w:rsid w:val="00CA6BDA"/>
    <w:rsid w:val="00CB0899"/>
    <w:rsid w:val="00CB2F5B"/>
    <w:rsid w:val="00CC0D3F"/>
    <w:rsid w:val="00CD3742"/>
    <w:rsid w:val="00CD3E95"/>
    <w:rsid w:val="00CD52C2"/>
    <w:rsid w:val="00CE24CD"/>
    <w:rsid w:val="00CE2C45"/>
    <w:rsid w:val="00CE3C00"/>
    <w:rsid w:val="00CE3E17"/>
    <w:rsid w:val="00CE3E86"/>
    <w:rsid w:val="00CE6367"/>
    <w:rsid w:val="00CE770E"/>
    <w:rsid w:val="00CF28B5"/>
    <w:rsid w:val="00CF5054"/>
    <w:rsid w:val="00CF5056"/>
    <w:rsid w:val="00CF7397"/>
    <w:rsid w:val="00D0184E"/>
    <w:rsid w:val="00D01FAA"/>
    <w:rsid w:val="00D03351"/>
    <w:rsid w:val="00D0433D"/>
    <w:rsid w:val="00D0493C"/>
    <w:rsid w:val="00D0782D"/>
    <w:rsid w:val="00D107E7"/>
    <w:rsid w:val="00D13EAA"/>
    <w:rsid w:val="00D15153"/>
    <w:rsid w:val="00D21978"/>
    <w:rsid w:val="00D2308D"/>
    <w:rsid w:val="00D250BF"/>
    <w:rsid w:val="00D278B0"/>
    <w:rsid w:val="00D27AA7"/>
    <w:rsid w:val="00D323AF"/>
    <w:rsid w:val="00D37FA5"/>
    <w:rsid w:val="00D41E8B"/>
    <w:rsid w:val="00D427F7"/>
    <w:rsid w:val="00D43E1D"/>
    <w:rsid w:val="00D45451"/>
    <w:rsid w:val="00D45580"/>
    <w:rsid w:val="00D45869"/>
    <w:rsid w:val="00D4711D"/>
    <w:rsid w:val="00D475A5"/>
    <w:rsid w:val="00D47CF1"/>
    <w:rsid w:val="00D50782"/>
    <w:rsid w:val="00D526E7"/>
    <w:rsid w:val="00D5413E"/>
    <w:rsid w:val="00D61625"/>
    <w:rsid w:val="00D63C5E"/>
    <w:rsid w:val="00D74500"/>
    <w:rsid w:val="00D766E1"/>
    <w:rsid w:val="00D7685E"/>
    <w:rsid w:val="00D76C8B"/>
    <w:rsid w:val="00D80A04"/>
    <w:rsid w:val="00D81A3B"/>
    <w:rsid w:val="00D81D47"/>
    <w:rsid w:val="00D82ED9"/>
    <w:rsid w:val="00D82FF7"/>
    <w:rsid w:val="00D83448"/>
    <w:rsid w:val="00D83ED2"/>
    <w:rsid w:val="00D855F6"/>
    <w:rsid w:val="00D86174"/>
    <w:rsid w:val="00D86C8A"/>
    <w:rsid w:val="00D87367"/>
    <w:rsid w:val="00D874B2"/>
    <w:rsid w:val="00D874F8"/>
    <w:rsid w:val="00D9119F"/>
    <w:rsid w:val="00D93D4E"/>
    <w:rsid w:val="00D943A8"/>
    <w:rsid w:val="00D94742"/>
    <w:rsid w:val="00D94EC4"/>
    <w:rsid w:val="00D967A7"/>
    <w:rsid w:val="00DA29D1"/>
    <w:rsid w:val="00DA4AB1"/>
    <w:rsid w:val="00DA73AF"/>
    <w:rsid w:val="00DA7F7C"/>
    <w:rsid w:val="00DB268D"/>
    <w:rsid w:val="00DB3A07"/>
    <w:rsid w:val="00DB6513"/>
    <w:rsid w:val="00DB755B"/>
    <w:rsid w:val="00DC087F"/>
    <w:rsid w:val="00DC0F08"/>
    <w:rsid w:val="00DD0327"/>
    <w:rsid w:val="00DD1C77"/>
    <w:rsid w:val="00DD3E34"/>
    <w:rsid w:val="00DD627C"/>
    <w:rsid w:val="00DE5A8C"/>
    <w:rsid w:val="00DF323E"/>
    <w:rsid w:val="00DF3352"/>
    <w:rsid w:val="00DF46E1"/>
    <w:rsid w:val="00DF5688"/>
    <w:rsid w:val="00E0127C"/>
    <w:rsid w:val="00E02C93"/>
    <w:rsid w:val="00E034DD"/>
    <w:rsid w:val="00E04075"/>
    <w:rsid w:val="00E047D5"/>
    <w:rsid w:val="00E06FCA"/>
    <w:rsid w:val="00E103A3"/>
    <w:rsid w:val="00E103AB"/>
    <w:rsid w:val="00E12445"/>
    <w:rsid w:val="00E141E6"/>
    <w:rsid w:val="00E17733"/>
    <w:rsid w:val="00E201D9"/>
    <w:rsid w:val="00E235FB"/>
    <w:rsid w:val="00E25357"/>
    <w:rsid w:val="00E25825"/>
    <w:rsid w:val="00E26B7D"/>
    <w:rsid w:val="00E30CF9"/>
    <w:rsid w:val="00E31B75"/>
    <w:rsid w:val="00E32751"/>
    <w:rsid w:val="00E32DDC"/>
    <w:rsid w:val="00E33B2C"/>
    <w:rsid w:val="00E35E1F"/>
    <w:rsid w:val="00E366A0"/>
    <w:rsid w:val="00E4059E"/>
    <w:rsid w:val="00E407BD"/>
    <w:rsid w:val="00E409B9"/>
    <w:rsid w:val="00E4669C"/>
    <w:rsid w:val="00E46B52"/>
    <w:rsid w:val="00E506C6"/>
    <w:rsid w:val="00E52E74"/>
    <w:rsid w:val="00E539C6"/>
    <w:rsid w:val="00E53C7B"/>
    <w:rsid w:val="00E54CDE"/>
    <w:rsid w:val="00E5545B"/>
    <w:rsid w:val="00E5639E"/>
    <w:rsid w:val="00E63625"/>
    <w:rsid w:val="00E63968"/>
    <w:rsid w:val="00E64D5A"/>
    <w:rsid w:val="00E66EE5"/>
    <w:rsid w:val="00E6785A"/>
    <w:rsid w:val="00E706C5"/>
    <w:rsid w:val="00E727B2"/>
    <w:rsid w:val="00E74700"/>
    <w:rsid w:val="00E75BA5"/>
    <w:rsid w:val="00E84A95"/>
    <w:rsid w:val="00E8574B"/>
    <w:rsid w:val="00E85E75"/>
    <w:rsid w:val="00E8630C"/>
    <w:rsid w:val="00E910F0"/>
    <w:rsid w:val="00E912E7"/>
    <w:rsid w:val="00E91443"/>
    <w:rsid w:val="00E92619"/>
    <w:rsid w:val="00E92C87"/>
    <w:rsid w:val="00E93086"/>
    <w:rsid w:val="00E9320F"/>
    <w:rsid w:val="00E95F4E"/>
    <w:rsid w:val="00EA00AA"/>
    <w:rsid w:val="00EA1FA0"/>
    <w:rsid w:val="00EA2689"/>
    <w:rsid w:val="00EA7A56"/>
    <w:rsid w:val="00EB00B5"/>
    <w:rsid w:val="00EB04E5"/>
    <w:rsid w:val="00EB1D56"/>
    <w:rsid w:val="00EB2D4E"/>
    <w:rsid w:val="00EB2D54"/>
    <w:rsid w:val="00EB3E85"/>
    <w:rsid w:val="00EB5B5F"/>
    <w:rsid w:val="00EB6143"/>
    <w:rsid w:val="00EC1650"/>
    <w:rsid w:val="00EC1FA7"/>
    <w:rsid w:val="00EC3BD3"/>
    <w:rsid w:val="00EC55D2"/>
    <w:rsid w:val="00EC7D6F"/>
    <w:rsid w:val="00ED1F9C"/>
    <w:rsid w:val="00ED2335"/>
    <w:rsid w:val="00EE22B5"/>
    <w:rsid w:val="00EE3A54"/>
    <w:rsid w:val="00EE683A"/>
    <w:rsid w:val="00EE6B04"/>
    <w:rsid w:val="00EF026F"/>
    <w:rsid w:val="00EF634F"/>
    <w:rsid w:val="00EF786B"/>
    <w:rsid w:val="00F03230"/>
    <w:rsid w:val="00F03E59"/>
    <w:rsid w:val="00F06123"/>
    <w:rsid w:val="00F06153"/>
    <w:rsid w:val="00F105EE"/>
    <w:rsid w:val="00F119B6"/>
    <w:rsid w:val="00F157E3"/>
    <w:rsid w:val="00F222DA"/>
    <w:rsid w:val="00F244AC"/>
    <w:rsid w:val="00F250CE"/>
    <w:rsid w:val="00F25EFD"/>
    <w:rsid w:val="00F31141"/>
    <w:rsid w:val="00F410E9"/>
    <w:rsid w:val="00F4313B"/>
    <w:rsid w:val="00F43264"/>
    <w:rsid w:val="00F47847"/>
    <w:rsid w:val="00F47A43"/>
    <w:rsid w:val="00F52321"/>
    <w:rsid w:val="00F5306A"/>
    <w:rsid w:val="00F54E5F"/>
    <w:rsid w:val="00F5767D"/>
    <w:rsid w:val="00F63AE6"/>
    <w:rsid w:val="00F64372"/>
    <w:rsid w:val="00F64D0E"/>
    <w:rsid w:val="00F65398"/>
    <w:rsid w:val="00F67A27"/>
    <w:rsid w:val="00F708B3"/>
    <w:rsid w:val="00F71919"/>
    <w:rsid w:val="00F71BE1"/>
    <w:rsid w:val="00F77E42"/>
    <w:rsid w:val="00F81B60"/>
    <w:rsid w:val="00F8219A"/>
    <w:rsid w:val="00F908D3"/>
    <w:rsid w:val="00F91E00"/>
    <w:rsid w:val="00F95A2A"/>
    <w:rsid w:val="00FA0B09"/>
    <w:rsid w:val="00FA1A7D"/>
    <w:rsid w:val="00FA1AC7"/>
    <w:rsid w:val="00FA2102"/>
    <w:rsid w:val="00FA4196"/>
    <w:rsid w:val="00FA7EB4"/>
    <w:rsid w:val="00FB1BD8"/>
    <w:rsid w:val="00FB2115"/>
    <w:rsid w:val="00FC3AC2"/>
    <w:rsid w:val="00FC5C57"/>
    <w:rsid w:val="00FC5F2A"/>
    <w:rsid w:val="00FC6F73"/>
    <w:rsid w:val="00FD0DA4"/>
    <w:rsid w:val="00FD28A9"/>
    <w:rsid w:val="00FD5603"/>
    <w:rsid w:val="00FD6757"/>
    <w:rsid w:val="00FE1789"/>
    <w:rsid w:val="00FE2D36"/>
    <w:rsid w:val="00FE3CD3"/>
    <w:rsid w:val="00FE5C49"/>
    <w:rsid w:val="00FE6D4F"/>
    <w:rsid w:val="00FF0144"/>
    <w:rsid w:val="00FF165C"/>
    <w:rsid w:val="00FF21D5"/>
    <w:rsid w:val="00FF68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0E638B"/>
  <w15:docId w15:val="{660C63D8-2E24-4A74-B099-1625186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aliases w:val="Bullet"/>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PlainText">
    <w:name w:val="Plain Text"/>
    <w:basedOn w:val="Normal"/>
    <w:link w:val="PlainTextChar"/>
    <w:uiPriority w:val="99"/>
    <w:semiHidden/>
    <w:unhideWhenUsed/>
    <w:rsid w:val="003D0FC7"/>
    <w:pPr>
      <w:spacing w:after="0" w:line="240" w:lineRule="auto"/>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semiHidden/>
    <w:rsid w:val="003D0FC7"/>
    <w:rPr>
      <w:rFonts w:ascii="Calibri" w:eastAsia="Calibri" w:hAnsi="Calibri" w:cs="Times New Roman"/>
      <w:szCs w:val="21"/>
    </w:rPr>
  </w:style>
  <w:style w:type="table" w:styleId="TableGridLight">
    <w:name w:val="Grid Table Light"/>
    <w:basedOn w:val="TableNormal"/>
    <w:uiPriority w:val="40"/>
    <w:rsid w:val="00E26B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11408"/>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18168952">
      <w:bodyDiv w:val="1"/>
      <w:marLeft w:val="0"/>
      <w:marRight w:val="0"/>
      <w:marTop w:val="0"/>
      <w:marBottom w:val="0"/>
      <w:divBdr>
        <w:top w:val="none" w:sz="0" w:space="0" w:color="auto"/>
        <w:left w:val="none" w:sz="0" w:space="0" w:color="auto"/>
        <w:bottom w:val="none" w:sz="0" w:space="0" w:color="auto"/>
        <w:right w:val="none" w:sz="0" w:space="0" w:color="auto"/>
      </w:divBdr>
    </w:div>
    <w:div w:id="26760069">
      <w:bodyDiv w:val="1"/>
      <w:marLeft w:val="0"/>
      <w:marRight w:val="0"/>
      <w:marTop w:val="0"/>
      <w:marBottom w:val="0"/>
      <w:divBdr>
        <w:top w:val="none" w:sz="0" w:space="0" w:color="auto"/>
        <w:left w:val="none" w:sz="0" w:space="0" w:color="auto"/>
        <w:bottom w:val="none" w:sz="0" w:space="0" w:color="auto"/>
        <w:right w:val="none" w:sz="0" w:space="0" w:color="auto"/>
      </w:divBdr>
    </w:div>
    <w:div w:id="53965841">
      <w:bodyDiv w:val="1"/>
      <w:marLeft w:val="0"/>
      <w:marRight w:val="0"/>
      <w:marTop w:val="0"/>
      <w:marBottom w:val="0"/>
      <w:divBdr>
        <w:top w:val="none" w:sz="0" w:space="0" w:color="auto"/>
        <w:left w:val="none" w:sz="0" w:space="0" w:color="auto"/>
        <w:bottom w:val="none" w:sz="0" w:space="0" w:color="auto"/>
        <w:right w:val="none" w:sz="0" w:space="0" w:color="auto"/>
      </w:divBdr>
    </w:div>
    <w:div w:id="58674372">
      <w:bodyDiv w:val="1"/>
      <w:marLeft w:val="0"/>
      <w:marRight w:val="0"/>
      <w:marTop w:val="0"/>
      <w:marBottom w:val="0"/>
      <w:divBdr>
        <w:top w:val="none" w:sz="0" w:space="0" w:color="auto"/>
        <w:left w:val="none" w:sz="0" w:space="0" w:color="auto"/>
        <w:bottom w:val="none" w:sz="0" w:space="0" w:color="auto"/>
        <w:right w:val="none" w:sz="0" w:space="0" w:color="auto"/>
      </w:divBdr>
    </w:div>
    <w:div w:id="77220523">
      <w:bodyDiv w:val="1"/>
      <w:marLeft w:val="0"/>
      <w:marRight w:val="0"/>
      <w:marTop w:val="0"/>
      <w:marBottom w:val="0"/>
      <w:divBdr>
        <w:top w:val="none" w:sz="0" w:space="0" w:color="auto"/>
        <w:left w:val="none" w:sz="0" w:space="0" w:color="auto"/>
        <w:bottom w:val="none" w:sz="0" w:space="0" w:color="auto"/>
        <w:right w:val="none" w:sz="0" w:space="0" w:color="auto"/>
      </w:divBdr>
    </w:div>
    <w:div w:id="81226626">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96826457">
      <w:bodyDiv w:val="1"/>
      <w:marLeft w:val="0"/>
      <w:marRight w:val="0"/>
      <w:marTop w:val="0"/>
      <w:marBottom w:val="0"/>
      <w:divBdr>
        <w:top w:val="none" w:sz="0" w:space="0" w:color="auto"/>
        <w:left w:val="none" w:sz="0" w:space="0" w:color="auto"/>
        <w:bottom w:val="none" w:sz="0" w:space="0" w:color="auto"/>
        <w:right w:val="none" w:sz="0" w:space="0" w:color="auto"/>
      </w:divBdr>
    </w:div>
    <w:div w:id="108552555">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3493826">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66025549">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43225070">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263925432">
      <w:bodyDiv w:val="1"/>
      <w:marLeft w:val="0"/>
      <w:marRight w:val="0"/>
      <w:marTop w:val="0"/>
      <w:marBottom w:val="0"/>
      <w:divBdr>
        <w:top w:val="none" w:sz="0" w:space="0" w:color="auto"/>
        <w:left w:val="none" w:sz="0" w:space="0" w:color="auto"/>
        <w:bottom w:val="none" w:sz="0" w:space="0" w:color="auto"/>
        <w:right w:val="none" w:sz="0" w:space="0" w:color="auto"/>
      </w:divBdr>
    </w:div>
    <w:div w:id="293874070">
      <w:bodyDiv w:val="1"/>
      <w:marLeft w:val="0"/>
      <w:marRight w:val="0"/>
      <w:marTop w:val="0"/>
      <w:marBottom w:val="0"/>
      <w:divBdr>
        <w:top w:val="none" w:sz="0" w:space="0" w:color="auto"/>
        <w:left w:val="none" w:sz="0" w:space="0" w:color="auto"/>
        <w:bottom w:val="none" w:sz="0" w:space="0" w:color="auto"/>
        <w:right w:val="none" w:sz="0" w:space="0" w:color="auto"/>
      </w:divBdr>
    </w:div>
    <w:div w:id="299308407">
      <w:bodyDiv w:val="1"/>
      <w:marLeft w:val="0"/>
      <w:marRight w:val="0"/>
      <w:marTop w:val="0"/>
      <w:marBottom w:val="0"/>
      <w:divBdr>
        <w:top w:val="none" w:sz="0" w:space="0" w:color="auto"/>
        <w:left w:val="none" w:sz="0" w:space="0" w:color="auto"/>
        <w:bottom w:val="none" w:sz="0" w:space="0" w:color="auto"/>
        <w:right w:val="none" w:sz="0" w:space="0" w:color="auto"/>
      </w:divBdr>
    </w:div>
    <w:div w:id="324893858">
      <w:bodyDiv w:val="1"/>
      <w:marLeft w:val="0"/>
      <w:marRight w:val="0"/>
      <w:marTop w:val="0"/>
      <w:marBottom w:val="0"/>
      <w:divBdr>
        <w:top w:val="none" w:sz="0" w:space="0" w:color="auto"/>
        <w:left w:val="none" w:sz="0" w:space="0" w:color="auto"/>
        <w:bottom w:val="none" w:sz="0" w:space="0" w:color="auto"/>
        <w:right w:val="none" w:sz="0" w:space="0" w:color="auto"/>
      </w:divBdr>
    </w:div>
    <w:div w:id="342365316">
      <w:bodyDiv w:val="1"/>
      <w:marLeft w:val="0"/>
      <w:marRight w:val="0"/>
      <w:marTop w:val="0"/>
      <w:marBottom w:val="0"/>
      <w:divBdr>
        <w:top w:val="none" w:sz="0" w:space="0" w:color="auto"/>
        <w:left w:val="none" w:sz="0" w:space="0" w:color="auto"/>
        <w:bottom w:val="none" w:sz="0" w:space="0" w:color="auto"/>
        <w:right w:val="none" w:sz="0" w:space="0" w:color="auto"/>
      </w:divBdr>
    </w:div>
    <w:div w:id="358705621">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86730288">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05880296">
      <w:bodyDiv w:val="1"/>
      <w:marLeft w:val="0"/>
      <w:marRight w:val="0"/>
      <w:marTop w:val="0"/>
      <w:marBottom w:val="0"/>
      <w:divBdr>
        <w:top w:val="none" w:sz="0" w:space="0" w:color="auto"/>
        <w:left w:val="none" w:sz="0" w:space="0" w:color="auto"/>
        <w:bottom w:val="none" w:sz="0" w:space="0" w:color="auto"/>
        <w:right w:val="none" w:sz="0" w:space="0" w:color="auto"/>
      </w:divBdr>
    </w:div>
    <w:div w:id="421683533">
      <w:bodyDiv w:val="1"/>
      <w:marLeft w:val="0"/>
      <w:marRight w:val="0"/>
      <w:marTop w:val="0"/>
      <w:marBottom w:val="0"/>
      <w:divBdr>
        <w:top w:val="none" w:sz="0" w:space="0" w:color="auto"/>
        <w:left w:val="none" w:sz="0" w:space="0" w:color="auto"/>
        <w:bottom w:val="none" w:sz="0" w:space="0" w:color="auto"/>
        <w:right w:val="none" w:sz="0" w:space="0" w:color="auto"/>
      </w:divBdr>
    </w:div>
    <w:div w:id="443576747">
      <w:bodyDiv w:val="1"/>
      <w:marLeft w:val="0"/>
      <w:marRight w:val="0"/>
      <w:marTop w:val="0"/>
      <w:marBottom w:val="0"/>
      <w:divBdr>
        <w:top w:val="none" w:sz="0" w:space="0" w:color="auto"/>
        <w:left w:val="none" w:sz="0" w:space="0" w:color="auto"/>
        <w:bottom w:val="none" w:sz="0" w:space="0" w:color="auto"/>
        <w:right w:val="none" w:sz="0" w:space="0" w:color="auto"/>
      </w:divBdr>
    </w:div>
    <w:div w:id="455758410">
      <w:bodyDiv w:val="1"/>
      <w:marLeft w:val="0"/>
      <w:marRight w:val="0"/>
      <w:marTop w:val="0"/>
      <w:marBottom w:val="0"/>
      <w:divBdr>
        <w:top w:val="none" w:sz="0" w:space="0" w:color="auto"/>
        <w:left w:val="none" w:sz="0" w:space="0" w:color="auto"/>
        <w:bottom w:val="none" w:sz="0" w:space="0" w:color="auto"/>
        <w:right w:val="none" w:sz="0" w:space="0" w:color="auto"/>
      </w:divBdr>
      <w:divsChild>
        <w:div w:id="2086370137">
          <w:marLeft w:val="0"/>
          <w:marRight w:val="0"/>
          <w:marTop w:val="0"/>
          <w:marBottom w:val="0"/>
          <w:divBdr>
            <w:top w:val="none" w:sz="0" w:space="0" w:color="auto"/>
            <w:left w:val="none" w:sz="0" w:space="0" w:color="auto"/>
            <w:bottom w:val="none" w:sz="0" w:space="0" w:color="auto"/>
            <w:right w:val="none" w:sz="0" w:space="0" w:color="auto"/>
          </w:divBdr>
        </w:div>
      </w:divsChild>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471555635">
      <w:bodyDiv w:val="1"/>
      <w:marLeft w:val="0"/>
      <w:marRight w:val="0"/>
      <w:marTop w:val="0"/>
      <w:marBottom w:val="0"/>
      <w:divBdr>
        <w:top w:val="none" w:sz="0" w:space="0" w:color="auto"/>
        <w:left w:val="none" w:sz="0" w:space="0" w:color="auto"/>
        <w:bottom w:val="none" w:sz="0" w:space="0" w:color="auto"/>
        <w:right w:val="none" w:sz="0" w:space="0" w:color="auto"/>
      </w:divBdr>
    </w:div>
    <w:div w:id="490369289">
      <w:bodyDiv w:val="1"/>
      <w:marLeft w:val="0"/>
      <w:marRight w:val="0"/>
      <w:marTop w:val="0"/>
      <w:marBottom w:val="0"/>
      <w:divBdr>
        <w:top w:val="none" w:sz="0" w:space="0" w:color="auto"/>
        <w:left w:val="none" w:sz="0" w:space="0" w:color="auto"/>
        <w:bottom w:val="none" w:sz="0" w:space="0" w:color="auto"/>
        <w:right w:val="none" w:sz="0" w:space="0" w:color="auto"/>
      </w:divBdr>
    </w:div>
    <w:div w:id="490607787">
      <w:bodyDiv w:val="1"/>
      <w:marLeft w:val="0"/>
      <w:marRight w:val="0"/>
      <w:marTop w:val="0"/>
      <w:marBottom w:val="0"/>
      <w:divBdr>
        <w:top w:val="none" w:sz="0" w:space="0" w:color="auto"/>
        <w:left w:val="none" w:sz="0" w:space="0" w:color="auto"/>
        <w:bottom w:val="none" w:sz="0" w:space="0" w:color="auto"/>
        <w:right w:val="none" w:sz="0" w:space="0" w:color="auto"/>
      </w:divBdr>
    </w:div>
    <w:div w:id="499346793">
      <w:bodyDiv w:val="1"/>
      <w:marLeft w:val="0"/>
      <w:marRight w:val="0"/>
      <w:marTop w:val="0"/>
      <w:marBottom w:val="0"/>
      <w:divBdr>
        <w:top w:val="none" w:sz="0" w:space="0" w:color="auto"/>
        <w:left w:val="none" w:sz="0" w:space="0" w:color="auto"/>
        <w:bottom w:val="none" w:sz="0" w:space="0" w:color="auto"/>
        <w:right w:val="none" w:sz="0" w:space="0" w:color="auto"/>
      </w:divBdr>
    </w:div>
    <w:div w:id="521168616">
      <w:bodyDiv w:val="1"/>
      <w:marLeft w:val="0"/>
      <w:marRight w:val="0"/>
      <w:marTop w:val="0"/>
      <w:marBottom w:val="0"/>
      <w:divBdr>
        <w:top w:val="none" w:sz="0" w:space="0" w:color="auto"/>
        <w:left w:val="none" w:sz="0" w:space="0" w:color="auto"/>
        <w:bottom w:val="none" w:sz="0" w:space="0" w:color="auto"/>
        <w:right w:val="none" w:sz="0" w:space="0" w:color="auto"/>
      </w:divBdr>
    </w:div>
    <w:div w:id="538670653">
      <w:bodyDiv w:val="1"/>
      <w:marLeft w:val="0"/>
      <w:marRight w:val="0"/>
      <w:marTop w:val="0"/>
      <w:marBottom w:val="0"/>
      <w:divBdr>
        <w:top w:val="none" w:sz="0" w:space="0" w:color="auto"/>
        <w:left w:val="none" w:sz="0" w:space="0" w:color="auto"/>
        <w:bottom w:val="none" w:sz="0" w:space="0" w:color="auto"/>
        <w:right w:val="none" w:sz="0" w:space="0" w:color="auto"/>
      </w:divBdr>
    </w:div>
    <w:div w:id="539165664">
      <w:bodyDiv w:val="1"/>
      <w:marLeft w:val="0"/>
      <w:marRight w:val="0"/>
      <w:marTop w:val="0"/>
      <w:marBottom w:val="0"/>
      <w:divBdr>
        <w:top w:val="none" w:sz="0" w:space="0" w:color="auto"/>
        <w:left w:val="none" w:sz="0" w:space="0" w:color="auto"/>
        <w:bottom w:val="none" w:sz="0" w:space="0" w:color="auto"/>
        <w:right w:val="none" w:sz="0" w:space="0" w:color="auto"/>
      </w:divBdr>
    </w:div>
    <w:div w:id="547494603">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61217403">
      <w:bodyDiv w:val="1"/>
      <w:marLeft w:val="0"/>
      <w:marRight w:val="0"/>
      <w:marTop w:val="0"/>
      <w:marBottom w:val="0"/>
      <w:divBdr>
        <w:top w:val="none" w:sz="0" w:space="0" w:color="auto"/>
        <w:left w:val="none" w:sz="0" w:space="0" w:color="auto"/>
        <w:bottom w:val="none" w:sz="0" w:space="0" w:color="auto"/>
        <w:right w:val="none" w:sz="0" w:space="0" w:color="auto"/>
      </w:divBdr>
    </w:div>
    <w:div w:id="571621263">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09240366">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631254892">
      <w:bodyDiv w:val="1"/>
      <w:marLeft w:val="0"/>
      <w:marRight w:val="0"/>
      <w:marTop w:val="0"/>
      <w:marBottom w:val="0"/>
      <w:divBdr>
        <w:top w:val="none" w:sz="0" w:space="0" w:color="auto"/>
        <w:left w:val="none" w:sz="0" w:space="0" w:color="auto"/>
        <w:bottom w:val="none" w:sz="0" w:space="0" w:color="auto"/>
        <w:right w:val="none" w:sz="0" w:space="0" w:color="auto"/>
      </w:divBdr>
    </w:div>
    <w:div w:id="664404634">
      <w:bodyDiv w:val="1"/>
      <w:marLeft w:val="0"/>
      <w:marRight w:val="0"/>
      <w:marTop w:val="0"/>
      <w:marBottom w:val="0"/>
      <w:divBdr>
        <w:top w:val="none" w:sz="0" w:space="0" w:color="auto"/>
        <w:left w:val="none" w:sz="0" w:space="0" w:color="auto"/>
        <w:bottom w:val="none" w:sz="0" w:space="0" w:color="auto"/>
        <w:right w:val="none" w:sz="0" w:space="0" w:color="auto"/>
      </w:divBdr>
    </w:div>
    <w:div w:id="71192088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33893475">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777333821">
      <w:bodyDiv w:val="1"/>
      <w:marLeft w:val="0"/>
      <w:marRight w:val="0"/>
      <w:marTop w:val="0"/>
      <w:marBottom w:val="0"/>
      <w:divBdr>
        <w:top w:val="none" w:sz="0" w:space="0" w:color="auto"/>
        <w:left w:val="none" w:sz="0" w:space="0" w:color="auto"/>
        <w:bottom w:val="none" w:sz="0" w:space="0" w:color="auto"/>
        <w:right w:val="none" w:sz="0" w:space="0" w:color="auto"/>
      </w:divBdr>
    </w:div>
    <w:div w:id="778791002">
      <w:bodyDiv w:val="1"/>
      <w:marLeft w:val="0"/>
      <w:marRight w:val="0"/>
      <w:marTop w:val="0"/>
      <w:marBottom w:val="0"/>
      <w:divBdr>
        <w:top w:val="none" w:sz="0" w:space="0" w:color="auto"/>
        <w:left w:val="none" w:sz="0" w:space="0" w:color="auto"/>
        <w:bottom w:val="none" w:sz="0" w:space="0" w:color="auto"/>
        <w:right w:val="none" w:sz="0" w:space="0" w:color="auto"/>
      </w:divBdr>
    </w:div>
    <w:div w:id="786049828">
      <w:bodyDiv w:val="1"/>
      <w:marLeft w:val="0"/>
      <w:marRight w:val="0"/>
      <w:marTop w:val="0"/>
      <w:marBottom w:val="0"/>
      <w:divBdr>
        <w:top w:val="none" w:sz="0" w:space="0" w:color="auto"/>
        <w:left w:val="none" w:sz="0" w:space="0" w:color="auto"/>
        <w:bottom w:val="none" w:sz="0" w:space="0" w:color="auto"/>
        <w:right w:val="none" w:sz="0" w:space="0" w:color="auto"/>
      </w:divBdr>
    </w:div>
    <w:div w:id="813330450">
      <w:bodyDiv w:val="1"/>
      <w:marLeft w:val="0"/>
      <w:marRight w:val="0"/>
      <w:marTop w:val="0"/>
      <w:marBottom w:val="0"/>
      <w:divBdr>
        <w:top w:val="none" w:sz="0" w:space="0" w:color="auto"/>
        <w:left w:val="none" w:sz="0" w:space="0" w:color="auto"/>
        <w:bottom w:val="none" w:sz="0" w:space="0" w:color="auto"/>
        <w:right w:val="none" w:sz="0" w:space="0" w:color="auto"/>
      </w:divBdr>
    </w:div>
    <w:div w:id="817645298">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1702853">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892042990">
      <w:bodyDiv w:val="1"/>
      <w:marLeft w:val="0"/>
      <w:marRight w:val="0"/>
      <w:marTop w:val="0"/>
      <w:marBottom w:val="0"/>
      <w:divBdr>
        <w:top w:val="none" w:sz="0" w:space="0" w:color="auto"/>
        <w:left w:val="none" w:sz="0" w:space="0" w:color="auto"/>
        <w:bottom w:val="none" w:sz="0" w:space="0" w:color="auto"/>
        <w:right w:val="none" w:sz="0" w:space="0" w:color="auto"/>
      </w:divBdr>
    </w:div>
    <w:div w:id="896933053">
      <w:bodyDiv w:val="1"/>
      <w:marLeft w:val="0"/>
      <w:marRight w:val="0"/>
      <w:marTop w:val="0"/>
      <w:marBottom w:val="0"/>
      <w:divBdr>
        <w:top w:val="none" w:sz="0" w:space="0" w:color="auto"/>
        <w:left w:val="none" w:sz="0" w:space="0" w:color="auto"/>
        <w:bottom w:val="none" w:sz="0" w:space="0" w:color="auto"/>
        <w:right w:val="none" w:sz="0" w:space="0" w:color="auto"/>
      </w:divBdr>
    </w:div>
    <w:div w:id="913976420">
      <w:bodyDiv w:val="1"/>
      <w:marLeft w:val="0"/>
      <w:marRight w:val="0"/>
      <w:marTop w:val="0"/>
      <w:marBottom w:val="0"/>
      <w:divBdr>
        <w:top w:val="none" w:sz="0" w:space="0" w:color="auto"/>
        <w:left w:val="none" w:sz="0" w:space="0" w:color="auto"/>
        <w:bottom w:val="none" w:sz="0" w:space="0" w:color="auto"/>
        <w:right w:val="none" w:sz="0" w:space="0" w:color="auto"/>
      </w:divBdr>
    </w:div>
    <w:div w:id="933051788">
      <w:bodyDiv w:val="1"/>
      <w:marLeft w:val="0"/>
      <w:marRight w:val="0"/>
      <w:marTop w:val="0"/>
      <w:marBottom w:val="0"/>
      <w:divBdr>
        <w:top w:val="none" w:sz="0" w:space="0" w:color="auto"/>
        <w:left w:val="none" w:sz="0" w:space="0" w:color="auto"/>
        <w:bottom w:val="none" w:sz="0" w:space="0" w:color="auto"/>
        <w:right w:val="none" w:sz="0" w:space="0" w:color="auto"/>
      </w:divBdr>
    </w:div>
    <w:div w:id="938029457">
      <w:bodyDiv w:val="1"/>
      <w:marLeft w:val="0"/>
      <w:marRight w:val="0"/>
      <w:marTop w:val="0"/>
      <w:marBottom w:val="0"/>
      <w:divBdr>
        <w:top w:val="none" w:sz="0" w:space="0" w:color="auto"/>
        <w:left w:val="none" w:sz="0" w:space="0" w:color="auto"/>
        <w:bottom w:val="none" w:sz="0" w:space="0" w:color="auto"/>
        <w:right w:val="none" w:sz="0" w:space="0" w:color="auto"/>
      </w:divBdr>
    </w:div>
    <w:div w:id="959606259">
      <w:bodyDiv w:val="1"/>
      <w:marLeft w:val="0"/>
      <w:marRight w:val="0"/>
      <w:marTop w:val="0"/>
      <w:marBottom w:val="0"/>
      <w:divBdr>
        <w:top w:val="none" w:sz="0" w:space="0" w:color="auto"/>
        <w:left w:val="none" w:sz="0" w:space="0" w:color="auto"/>
        <w:bottom w:val="none" w:sz="0" w:space="0" w:color="auto"/>
        <w:right w:val="none" w:sz="0" w:space="0" w:color="auto"/>
      </w:divBdr>
    </w:div>
    <w:div w:id="961302898">
      <w:bodyDiv w:val="1"/>
      <w:marLeft w:val="0"/>
      <w:marRight w:val="0"/>
      <w:marTop w:val="0"/>
      <w:marBottom w:val="0"/>
      <w:divBdr>
        <w:top w:val="none" w:sz="0" w:space="0" w:color="auto"/>
        <w:left w:val="none" w:sz="0" w:space="0" w:color="auto"/>
        <w:bottom w:val="none" w:sz="0" w:space="0" w:color="auto"/>
        <w:right w:val="none" w:sz="0" w:space="0" w:color="auto"/>
      </w:divBdr>
    </w:div>
    <w:div w:id="974019397">
      <w:bodyDiv w:val="1"/>
      <w:marLeft w:val="0"/>
      <w:marRight w:val="0"/>
      <w:marTop w:val="0"/>
      <w:marBottom w:val="0"/>
      <w:divBdr>
        <w:top w:val="none" w:sz="0" w:space="0" w:color="auto"/>
        <w:left w:val="none" w:sz="0" w:space="0" w:color="auto"/>
        <w:bottom w:val="none" w:sz="0" w:space="0" w:color="auto"/>
        <w:right w:val="none" w:sz="0" w:space="0" w:color="auto"/>
      </w:divBdr>
    </w:div>
    <w:div w:id="992181018">
      <w:bodyDiv w:val="1"/>
      <w:marLeft w:val="0"/>
      <w:marRight w:val="0"/>
      <w:marTop w:val="0"/>
      <w:marBottom w:val="0"/>
      <w:divBdr>
        <w:top w:val="none" w:sz="0" w:space="0" w:color="auto"/>
        <w:left w:val="none" w:sz="0" w:space="0" w:color="auto"/>
        <w:bottom w:val="none" w:sz="0" w:space="0" w:color="auto"/>
        <w:right w:val="none" w:sz="0" w:space="0" w:color="auto"/>
      </w:divBdr>
    </w:div>
    <w:div w:id="993068398">
      <w:bodyDiv w:val="1"/>
      <w:marLeft w:val="0"/>
      <w:marRight w:val="0"/>
      <w:marTop w:val="0"/>
      <w:marBottom w:val="0"/>
      <w:divBdr>
        <w:top w:val="none" w:sz="0" w:space="0" w:color="auto"/>
        <w:left w:val="none" w:sz="0" w:space="0" w:color="auto"/>
        <w:bottom w:val="none" w:sz="0" w:space="0" w:color="auto"/>
        <w:right w:val="none" w:sz="0" w:space="0" w:color="auto"/>
      </w:divBdr>
    </w:div>
    <w:div w:id="995842372">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35929954">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1173612">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006726">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110316122">
      <w:bodyDiv w:val="1"/>
      <w:marLeft w:val="0"/>
      <w:marRight w:val="0"/>
      <w:marTop w:val="0"/>
      <w:marBottom w:val="0"/>
      <w:divBdr>
        <w:top w:val="none" w:sz="0" w:space="0" w:color="auto"/>
        <w:left w:val="none" w:sz="0" w:space="0" w:color="auto"/>
        <w:bottom w:val="none" w:sz="0" w:space="0" w:color="auto"/>
        <w:right w:val="none" w:sz="0" w:space="0" w:color="auto"/>
      </w:divBdr>
    </w:div>
    <w:div w:id="1128545680">
      <w:bodyDiv w:val="1"/>
      <w:marLeft w:val="0"/>
      <w:marRight w:val="0"/>
      <w:marTop w:val="0"/>
      <w:marBottom w:val="0"/>
      <w:divBdr>
        <w:top w:val="none" w:sz="0" w:space="0" w:color="auto"/>
        <w:left w:val="none" w:sz="0" w:space="0" w:color="auto"/>
        <w:bottom w:val="none" w:sz="0" w:space="0" w:color="auto"/>
        <w:right w:val="none" w:sz="0" w:space="0" w:color="auto"/>
      </w:divBdr>
    </w:div>
    <w:div w:id="1189677907">
      <w:bodyDiv w:val="1"/>
      <w:marLeft w:val="0"/>
      <w:marRight w:val="0"/>
      <w:marTop w:val="0"/>
      <w:marBottom w:val="0"/>
      <w:divBdr>
        <w:top w:val="none" w:sz="0" w:space="0" w:color="auto"/>
        <w:left w:val="none" w:sz="0" w:space="0" w:color="auto"/>
        <w:bottom w:val="none" w:sz="0" w:space="0" w:color="auto"/>
        <w:right w:val="none" w:sz="0" w:space="0" w:color="auto"/>
      </w:divBdr>
    </w:div>
    <w:div w:id="1194808259">
      <w:bodyDiv w:val="1"/>
      <w:marLeft w:val="0"/>
      <w:marRight w:val="0"/>
      <w:marTop w:val="0"/>
      <w:marBottom w:val="0"/>
      <w:divBdr>
        <w:top w:val="none" w:sz="0" w:space="0" w:color="auto"/>
        <w:left w:val="none" w:sz="0" w:space="0" w:color="auto"/>
        <w:bottom w:val="none" w:sz="0" w:space="0" w:color="auto"/>
        <w:right w:val="none" w:sz="0" w:space="0" w:color="auto"/>
      </w:divBdr>
    </w:div>
    <w:div w:id="1212377150">
      <w:bodyDiv w:val="1"/>
      <w:marLeft w:val="0"/>
      <w:marRight w:val="0"/>
      <w:marTop w:val="0"/>
      <w:marBottom w:val="0"/>
      <w:divBdr>
        <w:top w:val="none" w:sz="0" w:space="0" w:color="auto"/>
        <w:left w:val="none" w:sz="0" w:space="0" w:color="auto"/>
        <w:bottom w:val="none" w:sz="0" w:space="0" w:color="auto"/>
        <w:right w:val="none" w:sz="0" w:space="0" w:color="auto"/>
      </w:divBdr>
    </w:div>
    <w:div w:id="1241677797">
      <w:bodyDiv w:val="1"/>
      <w:marLeft w:val="0"/>
      <w:marRight w:val="0"/>
      <w:marTop w:val="0"/>
      <w:marBottom w:val="0"/>
      <w:divBdr>
        <w:top w:val="none" w:sz="0" w:space="0" w:color="auto"/>
        <w:left w:val="none" w:sz="0" w:space="0" w:color="auto"/>
        <w:bottom w:val="none" w:sz="0" w:space="0" w:color="auto"/>
        <w:right w:val="none" w:sz="0" w:space="0" w:color="auto"/>
      </w:divBdr>
    </w:div>
    <w:div w:id="1248854544">
      <w:bodyDiv w:val="1"/>
      <w:marLeft w:val="0"/>
      <w:marRight w:val="0"/>
      <w:marTop w:val="0"/>
      <w:marBottom w:val="0"/>
      <w:divBdr>
        <w:top w:val="none" w:sz="0" w:space="0" w:color="auto"/>
        <w:left w:val="none" w:sz="0" w:space="0" w:color="auto"/>
        <w:bottom w:val="none" w:sz="0" w:space="0" w:color="auto"/>
        <w:right w:val="none" w:sz="0" w:space="0" w:color="auto"/>
      </w:divBdr>
    </w:div>
    <w:div w:id="1272741477">
      <w:bodyDiv w:val="1"/>
      <w:marLeft w:val="0"/>
      <w:marRight w:val="0"/>
      <w:marTop w:val="0"/>
      <w:marBottom w:val="0"/>
      <w:divBdr>
        <w:top w:val="none" w:sz="0" w:space="0" w:color="auto"/>
        <w:left w:val="none" w:sz="0" w:space="0" w:color="auto"/>
        <w:bottom w:val="none" w:sz="0" w:space="0" w:color="auto"/>
        <w:right w:val="none" w:sz="0" w:space="0" w:color="auto"/>
      </w:divBdr>
    </w:div>
    <w:div w:id="1298101787">
      <w:bodyDiv w:val="1"/>
      <w:marLeft w:val="0"/>
      <w:marRight w:val="0"/>
      <w:marTop w:val="0"/>
      <w:marBottom w:val="0"/>
      <w:divBdr>
        <w:top w:val="none" w:sz="0" w:space="0" w:color="auto"/>
        <w:left w:val="none" w:sz="0" w:space="0" w:color="auto"/>
        <w:bottom w:val="none" w:sz="0" w:space="0" w:color="auto"/>
        <w:right w:val="none" w:sz="0" w:space="0" w:color="auto"/>
      </w:divBdr>
    </w:div>
    <w:div w:id="1301420717">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19723860">
      <w:bodyDiv w:val="1"/>
      <w:marLeft w:val="0"/>
      <w:marRight w:val="0"/>
      <w:marTop w:val="0"/>
      <w:marBottom w:val="0"/>
      <w:divBdr>
        <w:top w:val="none" w:sz="0" w:space="0" w:color="auto"/>
        <w:left w:val="none" w:sz="0" w:space="0" w:color="auto"/>
        <w:bottom w:val="none" w:sz="0" w:space="0" w:color="auto"/>
        <w:right w:val="none" w:sz="0" w:space="0" w:color="auto"/>
      </w:divBdr>
    </w:div>
    <w:div w:id="1323318426">
      <w:bodyDiv w:val="1"/>
      <w:marLeft w:val="0"/>
      <w:marRight w:val="0"/>
      <w:marTop w:val="0"/>
      <w:marBottom w:val="0"/>
      <w:divBdr>
        <w:top w:val="none" w:sz="0" w:space="0" w:color="auto"/>
        <w:left w:val="none" w:sz="0" w:space="0" w:color="auto"/>
        <w:bottom w:val="none" w:sz="0" w:space="0" w:color="auto"/>
        <w:right w:val="none" w:sz="0" w:space="0" w:color="auto"/>
      </w:divBdr>
    </w:div>
    <w:div w:id="1339885058">
      <w:bodyDiv w:val="1"/>
      <w:marLeft w:val="0"/>
      <w:marRight w:val="0"/>
      <w:marTop w:val="0"/>
      <w:marBottom w:val="0"/>
      <w:divBdr>
        <w:top w:val="none" w:sz="0" w:space="0" w:color="auto"/>
        <w:left w:val="none" w:sz="0" w:space="0" w:color="auto"/>
        <w:bottom w:val="none" w:sz="0" w:space="0" w:color="auto"/>
        <w:right w:val="none" w:sz="0" w:space="0" w:color="auto"/>
      </w:divBdr>
    </w:div>
    <w:div w:id="1375347953">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383870635">
      <w:bodyDiv w:val="1"/>
      <w:marLeft w:val="0"/>
      <w:marRight w:val="0"/>
      <w:marTop w:val="0"/>
      <w:marBottom w:val="0"/>
      <w:divBdr>
        <w:top w:val="none" w:sz="0" w:space="0" w:color="auto"/>
        <w:left w:val="none" w:sz="0" w:space="0" w:color="auto"/>
        <w:bottom w:val="none" w:sz="0" w:space="0" w:color="auto"/>
        <w:right w:val="none" w:sz="0" w:space="0" w:color="auto"/>
      </w:divBdr>
    </w:div>
    <w:div w:id="1410078445">
      <w:bodyDiv w:val="1"/>
      <w:marLeft w:val="0"/>
      <w:marRight w:val="0"/>
      <w:marTop w:val="0"/>
      <w:marBottom w:val="0"/>
      <w:divBdr>
        <w:top w:val="none" w:sz="0" w:space="0" w:color="auto"/>
        <w:left w:val="none" w:sz="0" w:space="0" w:color="auto"/>
        <w:bottom w:val="none" w:sz="0" w:space="0" w:color="auto"/>
        <w:right w:val="none" w:sz="0" w:space="0" w:color="auto"/>
      </w:divBdr>
    </w:div>
    <w:div w:id="143020104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35437232">
      <w:bodyDiv w:val="1"/>
      <w:marLeft w:val="0"/>
      <w:marRight w:val="0"/>
      <w:marTop w:val="0"/>
      <w:marBottom w:val="0"/>
      <w:divBdr>
        <w:top w:val="none" w:sz="0" w:space="0" w:color="auto"/>
        <w:left w:val="none" w:sz="0" w:space="0" w:color="auto"/>
        <w:bottom w:val="none" w:sz="0" w:space="0" w:color="auto"/>
        <w:right w:val="none" w:sz="0" w:space="0" w:color="auto"/>
      </w:divBdr>
    </w:div>
    <w:div w:id="1459911997">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13640701">
      <w:bodyDiv w:val="1"/>
      <w:marLeft w:val="0"/>
      <w:marRight w:val="0"/>
      <w:marTop w:val="0"/>
      <w:marBottom w:val="0"/>
      <w:divBdr>
        <w:top w:val="none" w:sz="0" w:space="0" w:color="auto"/>
        <w:left w:val="none" w:sz="0" w:space="0" w:color="auto"/>
        <w:bottom w:val="none" w:sz="0" w:space="0" w:color="auto"/>
        <w:right w:val="none" w:sz="0" w:space="0" w:color="auto"/>
      </w:divBdr>
    </w:div>
    <w:div w:id="1518426494">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54734110">
      <w:bodyDiv w:val="1"/>
      <w:marLeft w:val="0"/>
      <w:marRight w:val="0"/>
      <w:marTop w:val="0"/>
      <w:marBottom w:val="0"/>
      <w:divBdr>
        <w:top w:val="none" w:sz="0" w:space="0" w:color="auto"/>
        <w:left w:val="none" w:sz="0" w:space="0" w:color="auto"/>
        <w:bottom w:val="none" w:sz="0" w:space="0" w:color="auto"/>
        <w:right w:val="none" w:sz="0" w:space="0" w:color="auto"/>
      </w:divBdr>
    </w:div>
    <w:div w:id="1578202216">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51401535">
      <w:bodyDiv w:val="1"/>
      <w:marLeft w:val="0"/>
      <w:marRight w:val="0"/>
      <w:marTop w:val="0"/>
      <w:marBottom w:val="0"/>
      <w:divBdr>
        <w:top w:val="none" w:sz="0" w:space="0" w:color="auto"/>
        <w:left w:val="none" w:sz="0" w:space="0" w:color="auto"/>
        <w:bottom w:val="none" w:sz="0" w:space="0" w:color="auto"/>
        <w:right w:val="none" w:sz="0" w:space="0" w:color="auto"/>
      </w:divBdr>
    </w:div>
    <w:div w:id="1672368921">
      <w:bodyDiv w:val="1"/>
      <w:marLeft w:val="0"/>
      <w:marRight w:val="0"/>
      <w:marTop w:val="0"/>
      <w:marBottom w:val="0"/>
      <w:divBdr>
        <w:top w:val="none" w:sz="0" w:space="0" w:color="auto"/>
        <w:left w:val="none" w:sz="0" w:space="0" w:color="auto"/>
        <w:bottom w:val="none" w:sz="0" w:space="0" w:color="auto"/>
        <w:right w:val="none" w:sz="0" w:space="0" w:color="auto"/>
      </w:divBdr>
    </w:div>
    <w:div w:id="1674184224">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679193081">
      <w:bodyDiv w:val="1"/>
      <w:marLeft w:val="0"/>
      <w:marRight w:val="0"/>
      <w:marTop w:val="0"/>
      <w:marBottom w:val="0"/>
      <w:divBdr>
        <w:top w:val="none" w:sz="0" w:space="0" w:color="auto"/>
        <w:left w:val="none" w:sz="0" w:space="0" w:color="auto"/>
        <w:bottom w:val="none" w:sz="0" w:space="0" w:color="auto"/>
        <w:right w:val="none" w:sz="0" w:space="0" w:color="auto"/>
      </w:divBdr>
    </w:div>
    <w:div w:id="1685477046">
      <w:bodyDiv w:val="1"/>
      <w:marLeft w:val="0"/>
      <w:marRight w:val="0"/>
      <w:marTop w:val="0"/>
      <w:marBottom w:val="0"/>
      <w:divBdr>
        <w:top w:val="none" w:sz="0" w:space="0" w:color="auto"/>
        <w:left w:val="none" w:sz="0" w:space="0" w:color="auto"/>
        <w:bottom w:val="none" w:sz="0" w:space="0" w:color="auto"/>
        <w:right w:val="none" w:sz="0" w:space="0" w:color="auto"/>
      </w:divBdr>
    </w:div>
    <w:div w:id="1706130929">
      <w:bodyDiv w:val="1"/>
      <w:marLeft w:val="0"/>
      <w:marRight w:val="0"/>
      <w:marTop w:val="0"/>
      <w:marBottom w:val="0"/>
      <w:divBdr>
        <w:top w:val="none" w:sz="0" w:space="0" w:color="auto"/>
        <w:left w:val="none" w:sz="0" w:space="0" w:color="auto"/>
        <w:bottom w:val="none" w:sz="0" w:space="0" w:color="auto"/>
        <w:right w:val="none" w:sz="0" w:space="0" w:color="auto"/>
      </w:divBdr>
    </w:div>
    <w:div w:id="1711146317">
      <w:bodyDiv w:val="1"/>
      <w:marLeft w:val="0"/>
      <w:marRight w:val="0"/>
      <w:marTop w:val="0"/>
      <w:marBottom w:val="0"/>
      <w:divBdr>
        <w:top w:val="none" w:sz="0" w:space="0" w:color="auto"/>
        <w:left w:val="none" w:sz="0" w:space="0" w:color="auto"/>
        <w:bottom w:val="none" w:sz="0" w:space="0" w:color="auto"/>
        <w:right w:val="none" w:sz="0" w:space="0" w:color="auto"/>
      </w:divBdr>
    </w:div>
    <w:div w:id="1718820072">
      <w:bodyDiv w:val="1"/>
      <w:marLeft w:val="0"/>
      <w:marRight w:val="0"/>
      <w:marTop w:val="0"/>
      <w:marBottom w:val="0"/>
      <w:divBdr>
        <w:top w:val="none" w:sz="0" w:space="0" w:color="auto"/>
        <w:left w:val="none" w:sz="0" w:space="0" w:color="auto"/>
        <w:bottom w:val="none" w:sz="0" w:space="0" w:color="auto"/>
        <w:right w:val="none" w:sz="0" w:space="0" w:color="auto"/>
      </w:divBdr>
    </w:div>
    <w:div w:id="1740785428">
      <w:bodyDiv w:val="1"/>
      <w:marLeft w:val="0"/>
      <w:marRight w:val="0"/>
      <w:marTop w:val="0"/>
      <w:marBottom w:val="0"/>
      <w:divBdr>
        <w:top w:val="none" w:sz="0" w:space="0" w:color="auto"/>
        <w:left w:val="none" w:sz="0" w:space="0" w:color="auto"/>
        <w:bottom w:val="none" w:sz="0" w:space="0" w:color="auto"/>
        <w:right w:val="none" w:sz="0" w:space="0" w:color="auto"/>
      </w:divBdr>
    </w:div>
    <w:div w:id="1757020991">
      <w:bodyDiv w:val="1"/>
      <w:marLeft w:val="0"/>
      <w:marRight w:val="0"/>
      <w:marTop w:val="0"/>
      <w:marBottom w:val="0"/>
      <w:divBdr>
        <w:top w:val="none" w:sz="0" w:space="0" w:color="auto"/>
        <w:left w:val="none" w:sz="0" w:space="0" w:color="auto"/>
        <w:bottom w:val="none" w:sz="0" w:space="0" w:color="auto"/>
        <w:right w:val="none" w:sz="0" w:space="0" w:color="auto"/>
      </w:divBdr>
    </w:div>
    <w:div w:id="1771706711">
      <w:bodyDiv w:val="1"/>
      <w:marLeft w:val="0"/>
      <w:marRight w:val="0"/>
      <w:marTop w:val="0"/>
      <w:marBottom w:val="0"/>
      <w:divBdr>
        <w:top w:val="none" w:sz="0" w:space="0" w:color="auto"/>
        <w:left w:val="none" w:sz="0" w:space="0" w:color="auto"/>
        <w:bottom w:val="none" w:sz="0" w:space="0" w:color="auto"/>
        <w:right w:val="none" w:sz="0" w:space="0" w:color="auto"/>
      </w:divBdr>
    </w:div>
    <w:div w:id="1773090889">
      <w:bodyDiv w:val="1"/>
      <w:marLeft w:val="0"/>
      <w:marRight w:val="0"/>
      <w:marTop w:val="0"/>
      <w:marBottom w:val="0"/>
      <w:divBdr>
        <w:top w:val="none" w:sz="0" w:space="0" w:color="auto"/>
        <w:left w:val="none" w:sz="0" w:space="0" w:color="auto"/>
        <w:bottom w:val="none" w:sz="0" w:space="0" w:color="auto"/>
        <w:right w:val="none" w:sz="0" w:space="0" w:color="auto"/>
      </w:divBdr>
    </w:div>
    <w:div w:id="1775319386">
      <w:bodyDiv w:val="1"/>
      <w:marLeft w:val="0"/>
      <w:marRight w:val="0"/>
      <w:marTop w:val="0"/>
      <w:marBottom w:val="0"/>
      <w:divBdr>
        <w:top w:val="none" w:sz="0" w:space="0" w:color="auto"/>
        <w:left w:val="none" w:sz="0" w:space="0" w:color="auto"/>
        <w:bottom w:val="none" w:sz="0" w:space="0" w:color="auto"/>
        <w:right w:val="none" w:sz="0" w:space="0" w:color="auto"/>
      </w:divBdr>
    </w:div>
    <w:div w:id="1794668386">
      <w:bodyDiv w:val="1"/>
      <w:marLeft w:val="0"/>
      <w:marRight w:val="0"/>
      <w:marTop w:val="0"/>
      <w:marBottom w:val="0"/>
      <w:divBdr>
        <w:top w:val="none" w:sz="0" w:space="0" w:color="auto"/>
        <w:left w:val="none" w:sz="0" w:space="0" w:color="auto"/>
        <w:bottom w:val="none" w:sz="0" w:space="0" w:color="auto"/>
        <w:right w:val="none" w:sz="0" w:space="0" w:color="auto"/>
      </w:divBdr>
      <w:divsChild>
        <w:div w:id="57830461">
          <w:marLeft w:val="0"/>
          <w:marRight w:val="0"/>
          <w:marTop w:val="0"/>
          <w:marBottom w:val="0"/>
          <w:divBdr>
            <w:top w:val="none" w:sz="0" w:space="0" w:color="auto"/>
            <w:left w:val="none" w:sz="0" w:space="0" w:color="auto"/>
            <w:bottom w:val="none" w:sz="0" w:space="0" w:color="auto"/>
            <w:right w:val="none" w:sz="0" w:space="0" w:color="auto"/>
          </w:divBdr>
        </w:div>
      </w:divsChild>
    </w:div>
    <w:div w:id="1838770030">
      <w:bodyDiv w:val="1"/>
      <w:marLeft w:val="0"/>
      <w:marRight w:val="0"/>
      <w:marTop w:val="0"/>
      <w:marBottom w:val="0"/>
      <w:divBdr>
        <w:top w:val="none" w:sz="0" w:space="0" w:color="auto"/>
        <w:left w:val="none" w:sz="0" w:space="0" w:color="auto"/>
        <w:bottom w:val="none" w:sz="0" w:space="0" w:color="auto"/>
        <w:right w:val="none" w:sz="0" w:space="0" w:color="auto"/>
      </w:divBdr>
    </w:div>
    <w:div w:id="1843159762">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1893033227">
      <w:bodyDiv w:val="1"/>
      <w:marLeft w:val="0"/>
      <w:marRight w:val="0"/>
      <w:marTop w:val="0"/>
      <w:marBottom w:val="0"/>
      <w:divBdr>
        <w:top w:val="none" w:sz="0" w:space="0" w:color="auto"/>
        <w:left w:val="none" w:sz="0" w:space="0" w:color="auto"/>
        <w:bottom w:val="none" w:sz="0" w:space="0" w:color="auto"/>
        <w:right w:val="none" w:sz="0" w:space="0" w:color="auto"/>
      </w:divBdr>
    </w:div>
    <w:div w:id="1934901532">
      <w:bodyDiv w:val="1"/>
      <w:marLeft w:val="0"/>
      <w:marRight w:val="0"/>
      <w:marTop w:val="0"/>
      <w:marBottom w:val="0"/>
      <w:divBdr>
        <w:top w:val="none" w:sz="0" w:space="0" w:color="auto"/>
        <w:left w:val="none" w:sz="0" w:space="0" w:color="auto"/>
        <w:bottom w:val="none" w:sz="0" w:space="0" w:color="auto"/>
        <w:right w:val="none" w:sz="0" w:space="0" w:color="auto"/>
      </w:divBdr>
    </w:div>
    <w:div w:id="1952348380">
      <w:bodyDiv w:val="1"/>
      <w:marLeft w:val="0"/>
      <w:marRight w:val="0"/>
      <w:marTop w:val="0"/>
      <w:marBottom w:val="0"/>
      <w:divBdr>
        <w:top w:val="none" w:sz="0" w:space="0" w:color="auto"/>
        <w:left w:val="none" w:sz="0" w:space="0" w:color="auto"/>
        <w:bottom w:val="none" w:sz="0" w:space="0" w:color="auto"/>
        <w:right w:val="none" w:sz="0" w:space="0" w:color="auto"/>
      </w:divBdr>
    </w:div>
    <w:div w:id="2004040018">
      <w:bodyDiv w:val="1"/>
      <w:marLeft w:val="0"/>
      <w:marRight w:val="0"/>
      <w:marTop w:val="0"/>
      <w:marBottom w:val="0"/>
      <w:divBdr>
        <w:top w:val="none" w:sz="0" w:space="0" w:color="auto"/>
        <w:left w:val="none" w:sz="0" w:space="0" w:color="auto"/>
        <w:bottom w:val="none" w:sz="0" w:space="0" w:color="auto"/>
        <w:right w:val="none" w:sz="0" w:space="0" w:color="auto"/>
      </w:divBdr>
    </w:div>
    <w:div w:id="2018188860">
      <w:bodyDiv w:val="1"/>
      <w:marLeft w:val="0"/>
      <w:marRight w:val="0"/>
      <w:marTop w:val="0"/>
      <w:marBottom w:val="0"/>
      <w:divBdr>
        <w:top w:val="none" w:sz="0" w:space="0" w:color="auto"/>
        <w:left w:val="none" w:sz="0" w:space="0" w:color="auto"/>
        <w:bottom w:val="none" w:sz="0" w:space="0" w:color="auto"/>
        <w:right w:val="none" w:sz="0" w:space="0" w:color="auto"/>
      </w:divBdr>
      <w:divsChild>
        <w:div w:id="1582061762">
          <w:marLeft w:val="0"/>
          <w:marRight w:val="0"/>
          <w:marTop w:val="0"/>
          <w:marBottom w:val="0"/>
          <w:divBdr>
            <w:top w:val="none" w:sz="0" w:space="0" w:color="auto"/>
            <w:left w:val="none" w:sz="0" w:space="0" w:color="auto"/>
            <w:bottom w:val="none" w:sz="0" w:space="0" w:color="auto"/>
            <w:right w:val="none" w:sz="0" w:space="0" w:color="auto"/>
          </w:divBdr>
        </w:div>
      </w:divsChild>
    </w:div>
    <w:div w:id="2035030395">
      <w:bodyDiv w:val="1"/>
      <w:marLeft w:val="0"/>
      <w:marRight w:val="0"/>
      <w:marTop w:val="0"/>
      <w:marBottom w:val="0"/>
      <w:divBdr>
        <w:top w:val="none" w:sz="0" w:space="0" w:color="auto"/>
        <w:left w:val="none" w:sz="0" w:space="0" w:color="auto"/>
        <w:bottom w:val="none" w:sz="0" w:space="0" w:color="auto"/>
        <w:right w:val="none" w:sz="0" w:space="0" w:color="auto"/>
      </w:divBdr>
    </w:div>
    <w:div w:id="2037848128">
      <w:bodyDiv w:val="1"/>
      <w:marLeft w:val="0"/>
      <w:marRight w:val="0"/>
      <w:marTop w:val="0"/>
      <w:marBottom w:val="0"/>
      <w:divBdr>
        <w:top w:val="none" w:sz="0" w:space="0" w:color="auto"/>
        <w:left w:val="none" w:sz="0" w:space="0" w:color="auto"/>
        <w:bottom w:val="none" w:sz="0" w:space="0" w:color="auto"/>
        <w:right w:val="none" w:sz="0" w:space="0" w:color="auto"/>
      </w:divBdr>
    </w:div>
    <w:div w:id="2041584778">
      <w:bodyDiv w:val="1"/>
      <w:marLeft w:val="0"/>
      <w:marRight w:val="0"/>
      <w:marTop w:val="0"/>
      <w:marBottom w:val="0"/>
      <w:divBdr>
        <w:top w:val="none" w:sz="0" w:space="0" w:color="auto"/>
        <w:left w:val="none" w:sz="0" w:space="0" w:color="auto"/>
        <w:bottom w:val="none" w:sz="0" w:space="0" w:color="auto"/>
        <w:right w:val="none" w:sz="0" w:space="0" w:color="auto"/>
      </w:divBdr>
    </w:div>
    <w:div w:id="2053654204">
      <w:bodyDiv w:val="1"/>
      <w:marLeft w:val="0"/>
      <w:marRight w:val="0"/>
      <w:marTop w:val="0"/>
      <w:marBottom w:val="0"/>
      <w:divBdr>
        <w:top w:val="none" w:sz="0" w:space="0" w:color="auto"/>
        <w:left w:val="none" w:sz="0" w:space="0" w:color="auto"/>
        <w:bottom w:val="none" w:sz="0" w:space="0" w:color="auto"/>
        <w:right w:val="none" w:sz="0" w:space="0" w:color="auto"/>
      </w:divBdr>
    </w:div>
    <w:div w:id="2057002651">
      <w:bodyDiv w:val="1"/>
      <w:marLeft w:val="0"/>
      <w:marRight w:val="0"/>
      <w:marTop w:val="0"/>
      <w:marBottom w:val="0"/>
      <w:divBdr>
        <w:top w:val="none" w:sz="0" w:space="0" w:color="auto"/>
        <w:left w:val="none" w:sz="0" w:space="0" w:color="auto"/>
        <w:bottom w:val="none" w:sz="0" w:space="0" w:color="auto"/>
        <w:right w:val="none" w:sz="0" w:space="0" w:color="auto"/>
      </w:divBdr>
    </w:div>
    <w:div w:id="2057271873">
      <w:bodyDiv w:val="1"/>
      <w:marLeft w:val="0"/>
      <w:marRight w:val="0"/>
      <w:marTop w:val="0"/>
      <w:marBottom w:val="0"/>
      <w:divBdr>
        <w:top w:val="none" w:sz="0" w:space="0" w:color="auto"/>
        <w:left w:val="none" w:sz="0" w:space="0" w:color="auto"/>
        <w:bottom w:val="none" w:sz="0" w:space="0" w:color="auto"/>
        <w:right w:val="none" w:sz="0" w:space="0" w:color="auto"/>
      </w:divBdr>
    </w:div>
    <w:div w:id="2068533454">
      <w:bodyDiv w:val="1"/>
      <w:marLeft w:val="0"/>
      <w:marRight w:val="0"/>
      <w:marTop w:val="0"/>
      <w:marBottom w:val="0"/>
      <w:divBdr>
        <w:top w:val="none" w:sz="0" w:space="0" w:color="auto"/>
        <w:left w:val="none" w:sz="0" w:space="0" w:color="auto"/>
        <w:bottom w:val="none" w:sz="0" w:space="0" w:color="auto"/>
        <w:right w:val="none" w:sz="0" w:space="0" w:color="auto"/>
      </w:divBdr>
    </w:div>
    <w:div w:id="2068650149">
      <w:bodyDiv w:val="1"/>
      <w:marLeft w:val="0"/>
      <w:marRight w:val="0"/>
      <w:marTop w:val="0"/>
      <w:marBottom w:val="0"/>
      <w:divBdr>
        <w:top w:val="none" w:sz="0" w:space="0" w:color="auto"/>
        <w:left w:val="none" w:sz="0" w:space="0" w:color="auto"/>
        <w:bottom w:val="none" w:sz="0" w:space="0" w:color="auto"/>
        <w:right w:val="none" w:sz="0" w:space="0" w:color="auto"/>
      </w:divBdr>
    </w:div>
    <w:div w:id="2070420028">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 w:id="2111779040">
      <w:bodyDiv w:val="1"/>
      <w:marLeft w:val="0"/>
      <w:marRight w:val="0"/>
      <w:marTop w:val="0"/>
      <w:marBottom w:val="0"/>
      <w:divBdr>
        <w:top w:val="none" w:sz="0" w:space="0" w:color="auto"/>
        <w:left w:val="none" w:sz="0" w:space="0" w:color="auto"/>
        <w:bottom w:val="none" w:sz="0" w:space="0" w:color="auto"/>
        <w:right w:val="none" w:sz="0" w:space="0" w:color="auto"/>
      </w:divBdr>
    </w:div>
    <w:div w:id="2130515094">
      <w:bodyDiv w:val="1"/>
      <w:marLeft w:val="0"/>
      <w:marRight w:val="0"/>
      <w:marTop w:val="0"/>
      <w:marBottom w:val="0"/>
      <w:divBdr>
        <w:top w:val="none" w:sz="0" w:space="0" w:color="auto"/>
        <w:left w:val="none" w:sz="0" w:space="0" w:color="auto"/>
        <w:bottom w:val="none" w:sz="0" w:space="0" w:color="auto"/>
        <w:right w:val="none" w:sz="0" w:space="0" w:color="auto"/>
      </w:divBdr>
    </w:div>
    <w:div w:id="2134135571">
      <w:bodyDiv w:val="1"/>
      <w:marLeft w:val="0"/>
      <w:marRight w:val="0"/>
      <w:marTop w:val="0"/>
      <w:marBottom w:val="0"/>
      <w:divBdr>
        <w:top w:val="none" w:sz="0" w:space="0" w:color="auto"/>
        <w:left w:val="none" w:sz="0" w:space="0" w:color="auto"/>
        <w:bottom w:val="none" w:sz="0" w:space="0" w:color="auto"/>
        <w:right w:val="none" w:sz="0" w:space="0" w:color="auto"/>
      </w:divBdr>
    </w:div>
    <w:div w:id="2136749707">
      <w:bodyDiv w:val="1"/>
      <w:marLeft w:val="0"/>
      <w:marRight w:val="0"/>
      <w:marTop w:val="0"/>
      <w:marBottom w:val="0"/>
      <w:divBdr>
        <w:top w:val="none" w:sz="0" w:space="0" w:color="auto"/>
        <w:left w:val="none" w:sz="0" w:space="0" w:color="auto"/>
        <w:bottom w:val="none" w:sz="0" w:space="0" w:color="auto"/>
        <w:right w:val="none" w:sz="0" w:space="0" w:color="auto"/>
      </w:divBdr>
    </w:div>
    <w:div w:id="2139913656">
      <w:bodyDiv w:val="1"/>
      <w:marLeft w:val="0"/>
      <w:marRight w:val="0"/>
      <w:marTop w:val="0"/>
      <w:marBottom w:val="0"/>
      <w:divBdr>
        <w:top w:val="none" w:sz="0" w:space="0" w:color="auto"/>
        <w:left w:val="none" w:sz="0" w:space="0" w:color="auto"/>
        <w:bottom w:val="none" w:sz="0" w:space="0" w:color="auto"/>
        <w:right w:val="none" w:sz="0" w:space="0" w:color="auto"/>
      </w:divBdr>
    </w:div>
    <w:div w:id="2141921654">
      <w:bodyDiv w:val="1"/>
      <w:marLeft w:val="0"/>
      <w:marRight w:val="0"/>
      <w:marTop w:val="0"/>
      <w:marBottom w:val="0"/>
      <w:divBdr>
        <w:top w:val="none" w:sz="0" w:space="0" w:color="auto"/>
        <w:left w:val="none" w:sz="0" w:space="0" w:color="auto"/>
        <w:bottom w:val="none" w:sz="0" w:space="0" w:color="auto"/>
        <w:right w:val="none" w:sz="0" w:space="0" w:color="auto"/>
      </w:divBdr>
    </w:div>
    <w:div w:id="21453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leigh.donnison@dpird.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onnison\Documents\RRA%20Trials%20&amp;%20Data\Trial%20-%20Moorine%20Rock%20-%20Local%20Lime\2019\KE%20Donnison%202019%20-%202019ME14%20Moorine%20Rock%20Local%20Li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onnison\Documents\RRA%20Trials%20&amp;%20Data\Trial%20-%20Moorine%20Rock%20-%20Local%20Lime\2019\KE%20Donnison%202019%20-%202019ME14%20Moorine%20Rock%20Local%20Li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onnison\Documents\RRA%20Trials%20&amp;%20Data\Trial%20-%20Moorine%20Rock%20-%20Local%20Lime\2019\KE%20Donnison%202019%20-%202019ME14%20Moorine%20Rock%20Local%20Lim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276311106095194E-2"/>
          <c:y val="2.6190471280376586E-2"/>
          <c:w val="0.92034899165718953"/>
          <c:h val="0.63746276901082"/>
        </c:manualLayout>
      </c:layout>
      <c:barChart>
        <c:barDir val="col"/>
        <c:grouping val="clustered"/>
        <c:varyColors val="0"/>
        <c:ser>
          <c:idx val="1"/>
          <c:order val="0"/>
          <c:tx>
            <c:strRef>
              <c:f>'Harvest Data Pivot'!$E$35:$E$36</c:f>
              <c:strCache>
                <c:ptCount val="2"/>
                <c:pt idx="0">
                  <c:v>Trial</c:v>
                </c:pt>
                <c:pt idx="1">
                  <c:v>Uncultivated</c:v>
                </c:pt>
              </c:strCache>
            </c:strRef>
          </c:tx>
          <c:spPr>
            <a:solidFill>
              <a:schemeClr val="accent5">
                <a:lumMod val="75000"/>
              </a:schemeClr>
            </a:solidFill>
            <a:ln>
              <a:solidFill>
                <a:schemeClr val="tx1"/>
              </a:solidFill>
            </a:ln>
            <a:effectLst/>
          </c:spPr>
          <c:invertIfNegative val="0"/>
          <c:errBars>
            <c:errBarType val="both"/>
            <c:errValType val="fixedVal"/>
            <c:noEndCap val="0"/>
            <c:val val="0.18170000000000003"/>
            <c:spPr>
              <a:noFill/>
              <a:ln w="9525" cap="flat" cmpd="sng" algn="ctr">
                <a:solidFill>
                  <a:schemeClr val="bg1">
                    <a:lumMod val="65000"/>
                  </a:schemeClr>
                </a:solidFill>
                <a:round/>
              </a:ln>
              <a:effectLst/>
            </c:spPr>
          </c:errBars>
          <c:cat>
            <c:multiLvlStrRef>
              <c:f>'Harvest Data Pivot'!$A$37:$B$46</c:f>
              <c:multiLvlStrCache>
                <c:ptCount val="10"/>
                <c:lvl>
                  <c:pt idx="1">
                    <c:v>17.2</c:v>
                  </c:pt>
                  <c:pt idx="2">
                    <c:v>4.3</c:v>
                  </c:pt>
                  <c:pt idx="3">
                    <c:v>2</c:v>
                  </c:pt>
                  <c:pt idx="4">
                    <c:v>14.7</c:v>
                  </c:pt>
                  <c:pt idx="5">
                    <c:v>4</c:v>
                  </c:pt>
                  <c:pt idx="6">
                    <c:v>8.6</c:v>
                  </c:pt>
                  <c:pt idx="7">
                    <c:v>7.35</c:v>
                  </c:pt>
                  <c:pt idx="8">
                    <c:v>29.4</c:v>
                  </c:pt>
                  <c:pt idx="9">
                    <c:v>8</c:v>
                  </c:pt>
                </c:lvl>
                <c:lvl>
                  <c:pt idx="0">
                    <c:v>Nil Lime</c:v>
                  </c:pt>
                  <c:pt idx="1">
                    <c:v>Local Depositional Morrel</c:v>
                  </c:pt>
                  <c:pt idx="2">
                    <c:v>Local Depositional Morrel</c:v>
                  </c:pt>
                  <c:pt idx="3">
                    <c:v>Limesand</c:v>
                  </c:pt>
                  <c:pt idx="4">
                    <c:v>Local Dolerite</c:v>
                  </c:pt>
                  <c:pt idx="5">
                    <c:v>Limesand</c:v>
                  </c:pt>
                  <c:pt idx="6">
                    <c:v>Local Depositional Morrel</c:v>
                  </c:pt>
                  <c:pt idx="7">
                    <c:v>Local Dolerite</c:v>
                  </c:pt>
                  <c:pt idx="8">
                    <c:v>Local Dolerite</c:v>
                  </c:pt>
                  <c:pt idx="9">
                    <c:v>Limesand</c:v>
                  </c:pt>
                </c:lvl>
              </c:multiLvlStrCache>
            </c:multiLvlStrRef>
          </c:cat>
          <c:val>
            <c:numRef>
              <c:f>'Harvest Data Pivot'!$E$37:$E$46</c:f>
              <c:numCache>
                <c:formatCode>0.00</c:formatCode>
                <c:ptCount val="10"/>
                <c:pt idx="0">
                  <c:v>1.237264498932289</c:v>
                </c:pt>
                <c:pt idx="1">
                  <c:v>1.1428417707360721</c:v>
                </c:pt>
                <c:pt idx="2">
                  <c:v>1.3042664306463325</c:v>
                </c:pt>
                <c:pt idx="3">
                  <c:v>1.1311387883857247</c:v>
                </c:pt>
                <c:pt idx="4">
                  <c:v>1.4179109088079678</c:v>
                </c:pt>
                <c:pt idx="5">
                  <c:v>1.2988712489625482</c:v>
                </c:pt>
                <c:pt idx="6">
                  <c:v>1.3395418611889198</c:v>
                </c:pt>
                <c:pt idx="7">
                  <c:v>1.3444703483245148</c:v>
                </c:pt>
                <c:pt idx="8">
                  <c:v>1.6352225496680155</c:v>
                </c:pt>
                <c:pt idx="9">
                  <c:v>1.6014975425355324</c:v>
                </c:pt>
              </c:numCache>
            </c:numRef>
          </c:val>
          <c:extLst>
            <c:ext xmlns:c16="http://schemas.microsoft.com/office/drawing/2014/chart" uri="{C3380CC4-5D6E-409C-BE32-E72D297353CC}">
              <c16:uniqueId val="{00000000-E09C-4517-AFE8-32B1064EBA9D}"/>
            </c:ext>
          </c:extLst>
        </c:ser>
        <c:ser>
          <c:idx val="0"/>
          <c:order val="1"/>
          <c:tx>
            <c:strRef>
              <c:f>'Harvest Data Pivot'!$C$35:$C$36</c:f>
              <c:strCache>
                <c:ptCount val="2"/>
                <c:pt idx="0">
                  <c:v>Trial</c:v>
                </c:pt>
                <c:pt idx="1">
                  <c:v>Cultivated</c:v>
                </c:pt>
              </c:strCache>
              <c:extLst xmlns:c15="http://schemas.microsoft.com/office/drawing/2012/chart"/>
            </c:strRef>
          </c:tx>
          <c:spPr>
            <a:solidFill>
              <a:schemeClr val="accent5">
                <a:lumMod val="40000"/>
                <a:lumOff val="60000"/>
              </a:schemeClr>
            </a:solidFill>
            <a:ln>
              <a:solidFill>
                <a:schemeClr val="tx1"/>
              </a:solidFill>
            </a:ln>
            <a:effectLst/>
          </c:spPr>
          <c:invertIfNegative val="0"/>
          <c:errBars>
            <c:errBarType val="both"/>
            <c:errValType val="fixedVal"/>
            <c:noEndCap val="0"/>
            <c:val val="0.18170000000000003"/>
            <c:spPr>
              <a:noFill/>
              <a:ln w="9525" cap="flat" cmpd="sng" algn="ctr">
                <a:solidFill>
                  <a:schemeClr val="tx1">
                    <a:lumMod val="65000"/>
                    <a:lumOff val="35000"/>
                  </a:schemeClr>
                </a:solidFill>
                <a:round/>
              </a:ln>
              <a:effectLst/>
            </c:spPr>
          </c:errBars>
          <c:cat>
            <c:multiLvlStrRef>
              <c:f>'Harvest Data Pivot'!$A$37:$B$46</c:f>
              <c:multiLvlStrCache>
                <c:ptCount val="10"/>
                <c:lvl>
                  <c:pt idx="1">
                    <c:v>17.2</c:v>
                  </c:pt>
                  <c:pt idx="2">
                    <c:v>4.3</c:v>
                  </c:pt>
                  <c:pt idx="3">
                    <c:v>2</c:v>
                  </c:pt>
                  <c:pt idx="4">
                    <c:v>14.7</c:v>
                  </c:pt>
                  <c:pt idx="5">
                    <c:v>4</c:v>
                  </c:pt>
                  <c:pt idx="6">
                    <c:v>8.6</c:v>
                  </c:pt>
                  <c:pt idx="7">
                    <c:v>7.35</c:v>
                  </c:pt>
                  <c:pt idx="8">
                    <c:v>29.4</c:v>
                  </c:pt>
                  <c:pt idx="9">
                    <c:v>8</c:v>
                  </c:pt>
                </c:lvl>
                <c:lvl>
                  <c:pt idx="0">
                    <c:v>Nil Lime</c:v>
                  </c:pt>
                  <c:pt idx="1">
                    <c:v>Local Depositional Morrel</c:v>
                  </c:pt>
                  <c:pt idx="2">
                    <c:v>Local Depositional Morrel</c:v>
                  </c:pt>
                  <c:pt idx="3">
                    <c:v>Limesand</c:v>
                  </c:pt>
                  <c:pt idx="4">
                    <c:v>Local Dolerite</c:v>
                  </c:pt>
                  <c:pt idx="5">
                    <c:v>Limesand</c:v>
                  </c:pt>
                  <c:pt idx="6">
                    <c:v>Local Depositional Morrel</c:v>
                  </c:pt>
                  <c:pt idx="7">
                    <c:v>Local Dolerite</c:v>
                  </c:pt>
                  <c:pt idx="8">
                    <c:v>Local Dolerite</c:v>
                  </c:pt>
                  <c:pt idx="9">
                    <c:v>Limesand</c:v>
                  </c:pt>
                </c:lvl>
              </c:multiLvlStrCache>
            </c:multiLvlStrRef>
          </c:cat>
          <c:val>
            <c:numRef>
              <c:f>'Harvest Data Pivot'!$C$37:$C$46</c:f>
              <c:numCache>
                <c:formatCode>0.00</c:formatCode>
                <c:ptCount val="10"/>
                <c:pt idx="0">
                  <c:v>1.859654885487469</c:v>
                </c:pt>
                <c:pt idx="1">
                  <c:v>1.8743484607418543</c:v>
                </c:pt>
                <c:pt idx="2">
                  <c:v>1.9443985223837554</c:v>
                </c:pt>
                <c:pt idx="3">
                  <c:v>2.0538117782406582</c:v>
                </c:pt>
                <c:pt idx="4">
                  <c:v>2.1233903851219802</c:v>
                </c:pt>
                <c:pt idx="5">
                  <c:v>2.1269708670617886</c:v>
                </c:pt>
                <c:pt idx="6">
                  <c:v>2.1499458796550655</c:v>
                </c:pt>
                <c:pt idx="7">
                  <c:v>2.3264406595317508</c:v>
                </c:pt>
                <c:pt idx="8">
                  <c:v>2.479650583909828</c:v>
                </c:pt>
                <c:pt idx="9">
                  <c:v>2.556995583766672</c:v>
                </c:pt>
              </c:numCache>
            </c:numRef>
          </c:val>
          <c:extLst xmlns:c15="http://schemas.microsoft.com/office/drawing/2012/chart">
            <c:ext xmlns:c16="http://schemas.microsoft.com/office/drawing/2014/chart" uri="{C3380CC4-5D6E-409C-BE32-E72D297353CC}">
              <c16:uniqueId val="{00000001-E09C-4517-AFE8-32B1064EBA9D}"/>
            </c:ext>
          </c:extLst>
        </c:ser>
        <c:ser>
          <c:idx val="3"/>
          <c:order val="2"/>
          <c:tx>
            <c:strRef>
              <c:f>'Harvest Data Pivot'!$G$35:$G$36</c:f>
              <c:strCache>
                <c:ptCount val="2"/>
                <c:pt idx="0">
                  <c:v>iLime</c:v>
                </c:pt>
                <c:pt idx="1">
                  <c:v>Uncultivated</c:v>
                </c:pt>
              </c:strCache>
            </c:strRef>
          </c:tx>
          <c:spPr>
            <a:solidFill>
              <a:schemeClr val="accent6">
                <a:lumMod val="75000"/>
              </a:schemeClr>
            </a:solidFill>
            <a:ln>
              <a:solidFill>
                <a:schemeClr val="tx1"/>
              </a:solidFill>
            </a:ln>
            <a:effectLst/>
          </c:spPr>
          <c:invertIfNegative val="0"/>
          <c:cat>
            <c:multiLvlStrRef>
              <c:f>'Harvest Data Pivot'!$A$37:$B$46</c:f>
              <c:multiLvlStrCache>
                <c:ptCount val="10"/>
                <c:lvl>
                  <c:pt idx="1">
                    <c:v>17.2</c:v>
                  </c:pt>
                  <c:pt idx="2">
                    <c:v>4.3</c:v>
                  </c:pt>
                  <c:pt idx="3">
                    <c:v>2</c:v>
                  </c:pt>
                  <c:pt idx="4">
                    <c:v>14.7</c:v>
                  </c:pt>
                  <c:pt idx="5">
                    <c:v>4</c:v>
                  </c:pt>
                  <c:pt idx="6">
                    <c:v>8.6</c:v>
                  </c:pt>
                  <c:pt idx="7">
                    <c:v>7.35</c:v>
                  </c:pt>
                  <c:pt idx="8">
                    <c:v>29.4</c:v>
                  </c:pt>
                  <c:pt idx="9">
                    <c:v>8</c:v>
                  </c:pt>
                </c:lvl>
                <c:lvl>
                  <c:pt idx="0">
                    <c:v>Nil Lime</c:v>
                  </c:pt>
                  <c:pt idx="1">
                    <c:v>Local Depositional Morrel</c:v>
                  </c:pt>
                  <c:pt idx="2">
                    <c:v>Local Depositional Morrel</c:v>
                  </c:pt>
                  <c:pt idx="3">
                    <c:v>Limesand</c:v>
                  </c:pt>
                  <c:pt idx="4">
                    <c:v>Local Dolerite</c:v>
                  </c:pt>
                  <c:pt idx="5">
                    <c:v>Limesand</c:v>
                  </c:pt>
                  <c:pt idx="6">
                    <c:v>Local Depositional Morrel</c:v>
                  </c:pt>
                  <c:pt idx="7">
                    <c:v>Local Dolerite</c:v>
                  </c:pt>
                  <c:pt idx="8">
                    <c:v>Local Dolerite</c:v>
                  </c:pt>
                  <c:pt idx="9">
                    <c:v>Limesand</c:v>
                  </c:pt>
                </c:lvl>
              </c:multiLvlStrCache>
            </c:multiLvlStrRef>
          </c:cat>
          <c:val>
            <c:numRef>
              <c:f>'Harvest Data Pivot'!$G$37:$G$46</c:f>
              <c:numCache>
                <c:formatCode>0.00</c:formatCode>
                <c:ptCount val="10"/>
                <c:pt idx="0">
                  <c:v>1.24</c:v>
                </c:pt>
                <c:pt idx="1">
                  <c:v>1.38</c:v>
                </c:pt>
                <c:pt idx="2">
                  <c:v>1.32</c:v>
                </c:pt>
                <c:pt idx="3">
                  <c:v>1.32</c:v>
                </c:pt>
                <c:pt idx="4">
                  <c:v>1.39</c:v>
                </c:pt>
                <c:pt idx="5">
                  <c:v>1.35</c:v>
                </c:pt>
                <c:pt idx="6">
                  <c:v>1.35</c:v>
                </c:pt>
                <c:pt idx="7">
                  <c:v>1.35</c:v>
                </c:pt>
                <c:pt idx="8">
                  <c:v>1.45</c:v>
                </c:pt>
                <c:pt idx="9">
                  <c:v>1.38</c:v>
                </c:pt>
              </c:numCache>
            </c:numRef>
          </c:val>
          <c:extLst xmlns:c15="http://schemas.microsoft.com/office/drawing/2012/chart">
            <c:ext xmlns:c16="http://schemas.microsoft.com/office/drawing/2014/chart" uri="{C3380CC4-5D6E-409C-BE32-E72D297353CC}">
              <c16:uniqueId val="{00000002-E09C-4517-AFE8-32B1064EBA9D}"/>
            </c:ext>
          </c:extLst>
        </c:ser>
        <c:ser>
          <c:idx val="2"/>
          <c:order val="4"/>
          <c:tx>
            <c:strRef>
              <c:f>'Harvest Data Pivot'!$F$35:$F$36</c:f>
              <c:strCache>
                <c:ptCount val="2"/>
                <c:pt idx="0">
                  <c:v>iLime</c:v>
                </c:pt>
                <c:pt idx="1">
                  <c:v>Cultivated</c:v>
                </c:pt>
              </c:strCache>
            </c:strRef>
          </c:tx>
          <c:spPr>
            <a:solidFill>
              <a:schemeClr val="accent6">
                <a:lumMod val="40000"/>
                <a:lumOff val="60000"/>
              </a:schemeClr>
            </a:solidFill>
            <a:ln>
              <a:solidFill>
                <a:schemeClr val="tx1"/>
              </a:solidFill>
            </a:ln>
            <a:effectLst/>
          </c:spPr>
          <c:invertIfNegative val="0"/>
          <c:cat>
            <c:multiLvlStrRef>
              <c:f>'Harvest Data Pivot'!$A$37:$B$46</c:f>
              <c:multiLvlStrCache>
                <c:ptCount val="10"/>
                <c:lvl>
                  <c:pt idx="1">
                    <c:v>17.2</c:v>
                  </c:pt>
                  <c:pt idx="2">
                    <c:v>4.3</c:v>
                  </c:pt>
                  <c:pt idx="3">
                    <c:v>2</c:v>
                  </c:pt>
                  <c:pt idx="4">
                    <c:v>14.7</c:v>
                  </c:pt>
                  <c:pt idx="5">
                    <c:v>4</c:v>
                  </c:pt>
                  <c:pt idx="6">
                    <c:v>8.6</c:v>
                  </c:pt>
                  <c:pt idx="7">
                    <c:v>7.35</c:v>
                  </c:pt>
                  <c:pt idx="8">
                    <c:v>29.4</c:v>
                  </c:pt>
                  <c:pt idx="9">
                    <c:v>8</c:v>
                  </c:pt>
                </c:lvl>
                <c:lvl>
                  <c:pt idx="0">
                    <c:v>Nil Lime</c:v>
                  </c:pt>
                  <c:pt idx="1">
                    <c:v>Local Depositional Morrel</c:v>
                  </c:pt>
                  <c:pt idx="2">
                    <c:v>Local Depositional Morrel</c:v>
                  </c:pt>
                  <c:pt idx="3">
                    <c:v>Limesand</c:v>
                  </c:pt>
                  <c:pt idx="4">
                    <c:v>Local Dolerite</c:v>
                  </c:pt>
                  <c:pt idx="5">
                    <c:v>Limesand</c:v>
                  </c:pt>
                  <c:pt idx="6">
                    <c:v>Local Depositional Morrel</c:v>
                  </c:pt>
                  <c:pt idx="7">
                    <c:v>Local Dolerite</c:v>
                  </c:pt>
                  <c:pt idx="8">
                    <c:v>Local Dolerite</c:v>
                  </c:pt>
                  <c:pt idx="9">
                    <c:v>Limesand</c:v>
                  </c:pt>
                </c:lvl>
              </c:multiLvlStrCache>
            </c:multiLvlStrRef>
          </c:cat>
          <c:val>
            <c:numRef>
              <c:f>'Harvest Data Pivot'!$F$37:$F$46</c:f>
              <c:numCache>
                <c:formatCode>0.00</c:formatCode>
                <c:ptCount val="10"/>
                <c:pt idx="0">
                  <c:v>1.25</c:v>
                </c:pt>
                <c:pt idx="1">
                  <c:v>1.57</c:v>
                </c:pt>
                <c:pt idx="2">
                  <c:v>1.54</c:v>
                </c:pt>
                <c:pt idx="3">
                  <c:v>1.53</c:v>
                </c:pt>
                <c:pt idx="4">
                  <c:v>1.57</c:v>
                </c:pt>
                <c:pt idx="5">
                  <c:v>1.56</c:v>
                </c:pt>
                <c:pt idx="6">
                  <c:v>1.56</c:v>
                </c:pt>
                <c:pt idx="7">
                  <c:v>1.55</c:v>
                </c:pt>
                <c:pt idx="8">
                  <c:v>1.57</c:v>
                </c:pt>
                <c:pt idx="9">
                  <c:v>1.57</c:v>
                </c:pt>
              </c:numCache>
            </c:numRef>
          </c:val>
          <c:extLst xmlns:c15="http://schemas.microsoft.com/office/drawing/2012/chart">
            <c:ext xmlns:c16="http://schemas.microsoft.com/office/drawing/2014/chart" uri="{C3380CC4-5D6E-409C-BE32-E72D297353CC}">
              <c16:uniqueId val="{00000003-E09C-4517-AFE8-32B1064EBA9D}"/>
            </c:ext>
          </c:extLst>
        </c:ser>
        <c:dLbls>
          <c:showLegendKey val="0"/>
          <c:showVal val="0"/>
          <c:showCatName val="0"/>
          <c:showSerName val="0"/>
          <c:showPercent val="0"/>
          <c:showBubbleSize val="0"/>
        </c:dLbls>
        <c:gapWidth val="219"/>
        <c:overlap val="-27"/>
        <c:axId val="1431476864"/>
        <c:axId val="1431475616"/>
        <c:extLst>
          <c:ext xmlns:c15="http://schemas.microsoft.com/office/drawing/2012/chart" uri="{02D57815-91ED-43cb-92C2-25804820EDAC}">
            <c15:filteredBarSeries>
              <c15:ser>
                <c:idx val="4"/>
                <c:order val="3"/>
                <c:tx>
                  <c:strRef>
                    <c:extLst>
                      <c:ext uri="{02D57815-91ED-43cb-92C2-25804820EDAC}">
                        <c15:formulaRef>
                          <c15:sqref>'Harvest Data Pivot'!$D$35:$D$36</c15:sqref>
                        </c15:formulaRef>
                      </c:ext>
                    </c:extLst>
                    <c:strCache>
                      <c:ptCount val="2"/>
                      <c:pt idx="0">
                        <c:v>Trial</c:v>
                      </c:pt>
                      <c:pt idx="1">
                        <c:v>Cultivated</c:v>
                      </c:pt>
                    </c:strCache>
                  </c:strRef>
                </c:tx>
                <c:spPr>
                  <a:solidFill>
                    <a:schemeClr val="accent5"/>
                  </a:solidFill>
                  <a:ln>
                    <a:noFill/>
                  </a:ln>
                  <a:effectLst/>
                </c:spPr>
                <c:invertIfNegative val="0"/>
                <c:errBars>
                  <c:errBarType val="both"/>
                  <c:errValType val="cust"/>
                  <c:noEndCap val="0"/>
                  <c:plus>
                    <c:numRef>
                      <c:extLst>
                        <c:ext uri="{02D57815-91ED-43cb-92C2-25804820EDAC}">
                          <c15:formulaRef>
                            <c15:sqref>'Harvest Data Pivot'!$B$70</c15:sqref>
                          </c15:formulaRef>
                        </c:ext>
                      </c:extLst>
                      <c:numCache>
                        <c:formatCode>General</c:formatCode>
                        <c:ptCount val="1"/>
                        <c:pt idx="0">
                          <c:v>0.20730000000000001</c:v>
                        </c:pt>
                      </c:numCache>
                    </c:numRef>
                  </c:plus>
                  <c:minus>
                    <c:numRef>
                      <c:extLst>
                        <c:ext uri="{02D57815-91ED-43cb-92C2-25804820EDAC}">
                          <c15:formulaRef>
                            <c15:sqref>'Harvest Data Pivot'!$B$70</c15:sqref>
                          </c15:formulaRef>
                        </c:ext>
                      </c:extLst>
                      <c:numCache>
                        <c:formatCode>General</c:formatCode>
                        <c:ptCount val="1"/>
                        <c:pt idx="0">
                          <c:v>0.20730000000000001</c:v>
                        </c:pt>
                      </c:numCache>
                    </c:numRef>
                  </c:minus>
                  <c:spPr>
                    <a:noFill/>
                    <a:ln w="9525" cap="flat" cmpd="sng" algn="ctr">
                      <a:solidFill>
                        <a:schemeClr val="tx1">
                          <a:lumMod val="65000"/>
                          <a:lumOff val="35000"/>
                        </a:schemeClr>
                      </a:solidFill>
                      <a:round/>
                    </a:ln>
                    <a:effectLst/>
                  </c:spPr>
                </c:errBars>
                <c:cat>
                  <c:multiLvlStrRef>
                    <c:extLst>
                      <c:ext uri="{02D57815-91ED-43cb-92C2-25804820EDAC}">
                        <c15:formulaRef>
                          <c15:sqref>'Harvest Data Pivot'!$A$37:$B$46</c15:sqref>
                        </c15:formulaRef>
                      </c:ext>
                    </c:extLst>
                    <c:multiLvlStrCache>
                      <c:ptCount val="10"/>
                      <c:lvl>
                        <c:pt idx="1">
                          <c:v>17.2</c:v>
                        </c:pt>
                        <c:pt idx="2">
                          <c:v>4.3</c:v>
                        </c:pt>
                        <c:pt idx="3">
                          <c:v>2</c:v>
                        </c:pt>
                        <c:pt idx="4">
                          <c:v>14.7</c:v>
                        </c:pt>
                        <c:pt idx="5">
                          <c:v>4</c:v>
                        </c:pt>
                        <c:pt idx="6">
                          <c:v>8.6</c:v>
                        </c:pt>
                        <c:pt idx="7">
                          <c:v>7.35</c:v>
                        </c:pt>
                        <c:pt idx="8">
                          <c:v>29.4</c:v>
                        </c:pt>
                        <c:pt idx="9">
                          <c:v>8</c:v>
                        </c:pt>
                      </c:lvl>
                      <c:lvl>
                        <c:pt idx="0">
                          <c:v>Nil Lime</c:v>
                        </c:pt>
                        <c:pt idx="1">
                          <c:v>Local Depositional Morrel</c:v>
                        </c:pt>
                        <c:pt idx="2">
                          <c:v>Local Depositional Morrel</c:v>
                        </c:pt>
                        <c:pt idx="3">
                          <c:v>Limesand</c:v>
                        </c:pt>
                        <c:pt idx="4">
                          <c:v>Local Dolerite</c:v>
                        </c:pt>
                        <c:pt idx="5">
                          <c:v>Limesand</c:v>
                        </c:pt>
                        <c:pt idx="6">
                          <c:v>Local Depositional Morrel</c:v>
                        </c:pt>
                        <c:pt idx="7">
                          <c:v>Local Dolerite</c:v>
                        </c:pt>
                        <c:pt idx="8">
                          <c:v>Local Dolerite</c:v>
                        </c:pt>
                        <c:pt idx="9">
                          <c:v>Limesand</c:v>
                        </c:pt>
                      </c:lvl>
                    </c:multiLvlStrCache>
                  </c:multiLvlStrRef>
                </c:cat>
                <c:val>
                  <c:numRef>
                    <c:extLst>
                      <c:ext uri="{02D57815-91ED-43cb-92C2-25804820EDAC}">
                        <c15:formulaRef>
                          <c15:sqref>'Harvest Data Pivot'!$D$37:$D$46</c15:sqref>
                        </c15:formulaRef>
                      </c:ext>
                    </c:extLst>
                    <c:numCache>
                      <c:formatCode>General</c:formatCode>
                      <c:ptCount val="10"/>
                      <c:pt idx="0" formatCode="0.00">
                        <c:v>2.06</c:v>
                      </c:pt>
                      <c:pt idx="4" formatCode="0.00">
                        <c:v>1.91</c:v>
                      </c:pt>
                      <c:pt idx="5" formatCode="0.00">
                        <c:v>1.9196708670617886</c:v>
                      </c:pt>
                      <c:pt idx="6" formatCode="0.00">
                        <c:v>1.9426458796550654</c:v>
                      </c:pt>
                      <c:pt idx="7" formatCode="0.00">
                        <c:v>2.1191406595317508</c:v>
                      </c:pt>
                      <c:pt idx="8" formatCode="0.00">
                        <c:v>2.2723505839098279</c:v>
                      </c:pt>
                      <c:pt idx="9" formatCode="0.00">
                        <c:v>2.349695583766672</c:v>
                      </c:pt>
                    </c:numCache>
                  </c:numRef>
                </c:val>
                <c:extLst>
                  <c:ext xmlns:c16="http://schemas.microsoft.com/office/drawing/2014/chart" uri="{C3380CC4-5D6E-409C-BE32-E72D297353CC}">
                    <c16:uniqueId val="{00000004-E09C-4517-AFE8-32B1064EBA9D}"/>
                  </c:ext>
                </c:extLst>
              </c15:ser>
            </c15:filteredBarSeries>
          </c:ext>
        </c:extLst>
      </c:barChart>
      <c:catAx>
        <c:axId val="143147686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Lime source and rate (t/ha)</a:t>
                </a:r>
              </a:p>
            </c:rich>
          </c:tx>
          <c:layout>
            <c:manualLayout>
              <c:xMode val="edge"/>
              <c:yMode val="edge"/>
              <c:x val="0.42345913657344558"/>
              <c:y val="0.8848341051493642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31475616"/>
        <c:crosses val="autoZero"/>
        <c:auto val="1"/>
        <c:lblAlgn val="ctr"/>
        <c:lblOffset val="100"/>
        <c:noMultiLvlLbl val="0"/>
      </c:catAx>
      <c:valAx>
        <c:axId val="143147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Yield t/ha</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31476864"/>
        <c:crosses val="autoZero"/>
        <c:crossBetween val="between"/>
      </c:valAx>
      <c:spPr>
        <a:noFill/>
        <a:ln>
          <a:noFill/>
        </a:ln>
        <a:effectLst/>
      </c:spPr>
    </c:plotArea>
    <c:legend>
      <c:legendPos val="b"/>
      <c:layout>
        <c:manualLayout>
          <c:xMode val="edge"/>
          <c:yMode val="edge"/>
          <c:x val="0.19599011103648342"/>
          <c:y val="0.93326767508451847"/>
          <c:w val="0.65238340216547341"/>
          <c:h val="6.252091198644389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339241201827707E-2"/>
          <c:y val="4.3692349486110366E-2"/>
          <c:w val="0.71226673884851099"/>
          <c:h val="0.83391136118356457"/>
        </c:manualLayout>
      </c:layout>
      <c:scatterChart>
        <c:scatterStyle val="smoothMarker"/>
        <c:varyColors val="0"/>
        <c:ser>
          <c:idx val="0"/>
          <c:order val="0"/>
          <c:tx>
            <c:strRef>
              <c:f>Sheet1!$B$2:$D$2</c:f>
              <c:strCache>
                <c:ptCount val="3"/>
                <c:pt idx="0">
                  <c:v>Depositional Morrel</c:v>
                </c:pt>
                <c:pt idx="1">
                  <c:v>8.6t/ha</c:v>
                </c:pt>
                <c:pt idx="2">
                  <c:v>Uncultivated</c:v>
                </c:pt>
              </c:strCache>
            </c:strRef>
          </c:tx>
          <c:spPr>
            <a:ln w="19050" cap="rnd">
              <a:solidFill>
                <a:schemeClr val="accent4"/>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Sheet1!$E$2:$Y$2</c:f>
              <c:numCache>
                <c:formatCode>General</c:formatCode>
                <c:ptCount val="21"/>
                <c:pt idx="0">
                  <c:v>4.28</c:v>
                </c:pt>
                <c:pt idx="1">
                  <c:v>5.67</c:v>
                </c:pt>
                <c:pt idx="2">
                  <c:v>5.85</c:v>
                </c:pt>
                <c:pt idx="3">
                  <c:v>5.89</c:v>
                </c:pt>
                <c:pt idx="4">
                  <c:v>5.95</c:v>
                </c:pt>
                <c:pt idx="5">
                  <c:v>5.93</c:v>
                </c:pt>
                <c:pt idx="6">
                  <c:v>5.92</c:v>
                </c:pt>
                <c:pt idx="7">
                  <c:v>5.95</c:v>
                </c:pt>
                <c:pt idx="8">
                  <c:v>5.92</c:v>
                </c:pt>
                <c:pt idx="9">
                  <c:v>5.94</c:v>
                </c:pt>
                <c:pt idx="10">
                  <c:v>5.89</c:v>
                </c:pt>
                <c:pt idx="11">
                  <c:v>5.88</c:v>
                </c:pt>
                <c:pt idx="12">
                  <c:v>5.9</c:v>
                </c:pt>
                <c:pt idx="13">
                  <c:v>5.87</c:v>
                </c:pt>
                <c:pt idx="14">
                  <c:v>5.89</c:v>
                </c:pt>
                <c:pt idx="15">
                  <c:v>5.84</c:v>
                </c:pt>
                <c:pt idx="16">
                  <c:v>5.82</c:v>
                </c:pt>
                <c:pt idx="17">
                  <c:v>5.84</c:v>
                </c:pt>
                <c:pt idx="18">
                  <c:v>5.81</c:v>
                </c:pt>
                <c:pt idx="19">
                  <c:v>5.83</c:v>
                </c:pt>
                <c:pt idx="20">
                  <c:v>5.78</c:v>
                </c:pt>
              </c:numCache>
            </c:numRef>
          </c:yVal>
          <c:smooth val="1"/>
          <c:extLst>
            <c:ext xmlns:c16="http://schemas.microsoft.com/office/drawing/2014/chart" uri="{C3380CC4-5D6E-409C-BE32-E72D297353CC}">
              <c16:uniqueId val="{00000000-3A6E-4BFD-8F4A-C92781A0581D}"/>
            </c:ext>
          </c:extLst>
        </c:ser>
        <c:ser>
          <c:idx val="1"/>
          <c:order val="1"/>
          <c:tx>
            <c:strRef>
              <c:f>Sheet1!$B$3:$D$3</c:f>
              <c:strCache>
                <c:ptCount val="3"/>
                <c:pt idx="0">
                  <c:v>Lancelin Limesand</c:v>
                </c:pt>
                <c:pt idx="1">
                  <c:v>4t</c:v>
                </c:pt>
                <c:pt idx="2">
                  <c:v>Uncultivated</c:v>
                </c:pt>
              </c:strCache>
            </c:strRef>
          </c:tx>
          <c:spPr>
            <a:ln w="19050" cap="rnd">
              <a:solidFill>
                <a:schemeClr val="accent1"/>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Sheet1!$E$3:$Y$3</c:f>
              <c:numCache>
                <c:formatCode>General</c:formatCode>
                <c:ptCount val="21"/>
                <c:pt idx="0">
                  <c:v>4.28</c:v>
                </c:pt>
                <c:pt idx="1">
                  <c:v>5.62</c:v>
                </c:pt>
                <c:pt idx="2">
                  <c:v>5.79</c:v>
                </c:pt>
                <c:pt idx="3">
                  <c:v>5.84</c:v>
                </c:pt>
                <c:pt idx="4">
                  <c:v>5.9</c:v>
                </c:pt>
                <c:pt idx="5">
                  <c:v>5.88</c:v>
                </c:pt>
                <c:pt idx="6">
                  <c:v>5.87</c:v>
                </c:pt>
                <c:pt idx="7">
                  <c:v>5.9</c:v>
                </c:pt>
                <c:pt idx="8">
                  <c:v>5.87</c:v>
                </c:pt>
                <c:pt idx="9">
                  <c:v>5.89</c:v>
                </c:pt>
                <c:pt idx="10">
                  <c:v>5.85</c:v>
                </c:pt>
                <c:pt idx="11">
                  <c:v>5.82</c:v>
                </c:pt>
                <c:pt idx="12">
                  <c:v>5.84</c:v>
                </c:pt>
                <c:pt idx="13">
                  <c:v>5.81</c:v>
                </c:pt>
                <c:pt idx="14">
                  <c:v>5.83</c:v>
                </c:pt>
                <c:pt idx="15">
                  <c:v>5.78</c:v>
                </c:pt>
                <c:pt idx="16">
                  <c:v>5.75</c:v>
                </c:pt>
                <c:pt idx="17">
                  <c:v>5.77</c:v>
                </c:pt>
                <c:pt idx="18">
                  <c:v>5.74</c:v>
                </c:pt>
                <c:pt idx="19">
                  <c:v>5.75</c:v>
                </c:pt>
                <c:pt idx="20">
                  <c:v>5.7</c:v>
                </c:pt>
              </c:numCache>
            </c:numRef>
          </c:yVal>
          <c:smooth val="1"/>
          <c:extLst>
            <c:ext xmlns:c16="http://schemas.microsoft.com/office/drawing/2014/chart" uri="{C3380CC4-5D6E-409C-BE32-E72D297353CC}">
              <c16:uniqueId val="{00000001-3A6E-4BFD-8F4A-C92781A0581D}"/>
            </c:ext>
          </c:extLst>
        </c:ser>
        <c:ser>
          <c:idx val="2"/>
          <c:order val="2"/>
          <c:tx>
            <c:strRef>
              <c:f>Sheet1!$B$4:$D$4</c:f>
              <c:strCache>
                <c:ptCount val="3"/>
                <c:pt idx="0">
                  <c:v>Dolerite</c:v>
                </c:pt>
                <c:pt idx="1">
                  <c:v>14.7t/ha</c:v>
                </c:pt>
                <c:pt idx="2">
                  <c:v>Uncultivated</c:v>
                </c:pt>
              </c:strCache>
            </c:strRef>
          </c:tx>
          <c:spPr>
            <a:ln w="19050" cap="rnd">
              <a:solidFill>
                <a:schemeClr val="accent6">
                  <a:lumMod val="60000"/>
                  <a:lumOff val="40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Sheet1!$E$4:$Y$4</c:f>
              <c:numCache>
                <c:formatCode>General</c:formatCode>
                <c:ptCount val="21"/>
                <c:pt idx="0">
                  <c:v>4.28</c:v>
                </c:pt>
                <c:pt idx="1">
                  <c:v>5.99</c:v>
                </c:pt>
                <c:pt idx="2">
                  <c:v>6.1</c:v>
                </c:pt>
                <c:pt idx="3">
                  <c:v>6.08</c:v>
                </c:pt>
                <c:pt idx="4">
                  <c:v>6.1</c:v>
                </c:pt>
                <c:pt idx="5">
                  <c:v>6.04</c:v>
                </c:pt>
                <c:pt idx="6">
                  <c:v>6.01</c:v>
                </c:pt>
                <c:pt idx="7">
                  <c:v>6.02</c:v>
                </c:pt>
                <c:pt idx="8">
                  <c:v>5.97</c:v>
                </c:pt>
                <c:pt idx="9">
                  <c:v>5.98</c:v>
                </c:pt>
                <c:pt idx="10">
                  <c:v>5.9</c:v>
                </c:pt>
                <c:pt idx="11">
                  <c:v>5.86</c:v>
                </c:pt>
                <c:pt idx="12">
                  <c:v>5.86</c:v>
                </c:pt>
                <c:pt idx="13">
                  <c:v>5.81</c:v>
                </c:pt>
                <c:pt idx="14">
                  <c:v>5.81</c:v>
                </c:pt>
                <c:pt idx="15">
                  <c:v>5.73</c:v>
                </c:pt>
                <c:pt idx="16">
                  <c:v>5.68</c:v>
                </c:pt>
                <c:pt idx="17">
                  <c:v>5.66</c:v>
                </c:pt>
                <c:pt idx="18">
                  <c:v>5.61</c:v>
                </c:pt>
                <c:pt idx="19">
                  <c:v>5.59</c:v>
                </c:pt>
                <c:pt idx="20">
                  <c:v>5.51</c:v>
                </c:pt>
              </c:numCache>
            </c:numRef>
          </c:yVal>
          <c:smooth val="1"/>
          <c:extLst>
            <c:ext xmlns:c16="http://schemas.microsoft.com/office/drawing/2014/chart" uri="{C3380CC4-5D6E-409C-BE32-E72D297353CC}">
              <c16:uniqueId val="{00000002-3A6E-4BFD-8F4A-C92781A0581D}"/>
            </c:ext>
          </c:extLst>
        </c:ser>
        <c:ser>
          <c:idx val="3"/>
          <c:order val="3"/>
          <c:tx>
            <c:strRef>
              <c:f>Sheet1!$B$5:$D$5</c:f>
              <c:strCache>
                <c:ptCount val="3"/>
                <c:pt idx="0">
                  <c:v>Depositional Morrel</c:v>
                </c:pt>
                <c:pt idx="1">
                  <c:v>8.6t/ha</c:v>
                </c:pt>
                <c:pt idx="2">
                  <c:v>Cultivated</c:v>
                </c:pt>
              </c:strCache>
            </c:strRef>
          </c:tx>
          <c:spPr>
            <a:ln w="19050" cap="rnd">
              <a:solidFill>
                <a:schemeClr val="accent2"/>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Sheet1!$E$5:$Y$5</c:f>
              <c:numCache>
                <c:formatCode>General</c:formatCode>
                <c:ptCount val="21"/>
                <c:pt idx="0">
                  <c:v>4.28</c:v>
                </c:pt>
                <c:pt idx="1">
                  <c:v>5.23</c:v>
                </c:pt>
                <c:pt idx="2">
                  <c:v>5.41</c:v>
                </c:pt>
                <c:pt idx="3">
                  <c:v>5.47</c:v>
                </c:pt>
                <c:pt idx="4">
                  <c:v>5.54</c:v>
                </c:pt>
                <c:pt idx="5">
                  <c:v>5.52</c:v>
                </c:pt>
                <c:pt idx="6">
                  <c:v>5.52</c:v>
                </c:pt>
                <c:pt idx="7">
                  <c:v>5.55</c:v>
                </c:pt>
                <c:pt idx="8">
                  <c:v>5.53</c:v>
                </c:pt>
                <c:pt idx="9">
                  <c:v>5.55</c:v>
                </c:pt>
                <c:pt idx="10">
                  <c:v>5.5</c:v>
                </c:pt>
                <c:pt idx="11">
                  <c:v>5.48</c:v>
                </c:pt>
                <c:pt idx="12">
                  <c:v>5.49</c:v>
                </c:pt>
                <c:pt idx="13">
                  <c:v>5.45</c:v>
                </c:pt>
                <c:pt idx="14">
                  <c:v>5.46</c:v>
                </c:pt>
                <c:pt idx="15">
                  <c:v>5.4</c:v>
                </c:pt>
                <c:pt idx="16">
                  <c:v>5.37</c:v>
                </c:pt>
                <c:pt idx="17">
                  <c:v>5.37</c:v>
                </c:pt>
                <c:pt idx="18">
                  <c:v>5.33</c:v>
                </c:pt>
                <c:pt idx="19">
                  <c:v>5.33</c:v>
                </c:pt>
                <c:pt idx="20">
                  <c:v>5.27</c:v>
                </c:pt>
              </c:numCache>
            </c:numRef>
          </c:yVal>
          <c:smooth val="1"/>
          <c:extLst>
            <c:ext xmlns:c16="http://schemas.microsoft.com/office/drawing/2014/chart" uri="{C3380CC4-5D6E-409C-BE32-E72D297353CC}">
              <c16:uniqueId val="{00000003-3A6E-4BFD-8F4A-C92781A0581D}"/>
            </c:ext>
          </c:extLst>
        </c:ser>
        <c:ser>
          <c:idx val="4"/>
          <c:order val="4"/>
          <c:tx>
            <c:strRef>
              <c:f>Sheet1!$B$6:$D$6</c:f>
              <c:strCache>
                <c:ptCount val="3"/>
                <c:pt idx="0">
                  <c:v>Lancelin Limesand</c:v>
                </c:pt>
                <c:pt idx="1">
                  <c:v>4t</c:v>
                </c:pt>
                <c:pt idx="2">
                  <c:v>Cultivated</c:v>
                </c:pt>
              </c:strCache>
            </c:strRef>
          </c:tx>
          <c:spPr>
            <a:ln w="19050" cap="rnd">
              <a:solidFill>
                <a:schemeClr val="accent5">
                  <a:lumMod val="75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Sheet1!$E$6:$Y$6</c:f>
              <c:numCache>
                <c:formatCode>General</c:formatCode>
                <c:ptCount val="21"/>
                <c:pt idx="0">
                  <c:v>4.28</c:v>
                </c:pt>
                <c:pt idx="1">
                  <c:v>5.17</c:v>
                </c:pt>
                <c:pt idx="2">
                  <c:v>5.33</c:v>
                </c:pt>
                <c:pt idx="3">
                  <c:v>5.37</c:v>
                </c:pt>
                <c:pt idx="4">
                  <c:v>5.43</c:v>
                </c:pt>
                <c:pt idx="5">
                  <c:v>5.41</c:v>
                </c:pt>
                <c:pt idx="6">
                  <c:v>5.4</c:v>
                </c:pt>
                <c:pt idx="7">
                  <c:v>5.42</c:v>
                </c:pt>
                <c:pt idx="8">
                  <c:v>5.4</c:v>
                </c:pt>
                <c:pt idx="9">
                  <c:v>5.41</c:v>
                </c:pt>
                <c:pt idx="10">
                  <c:v>5.35</c:v>
                </c:pt>
                <c:pt idx="11">
                  <c:v>5.32</c:v>
                </c:pt>
                <c:pt idx="12">
                  <c:v>5.32</c:v>
                </c:pt>
                <c:pt idx="13">
                  <c:v>5.28</c:v>
                </c:pt>
                <c:pt idx="14">
                  <c:v>5.28</c:v>
                </c:pt>
                <c:pt idx="15">
                  <c:v>5.22</c:v>
                </c:pt>
                <c:pt idx="16">
                  <c:v>5.18</c:v>
                </c:pt>
                <c:pt idx="17">
                  <c:v>5.17</c:v>
                </c:pt>
                <c:pt idx="18">
                  <c:v>5.13</c:v>
                </c:pt>
                <c:pt idx="19">
                  <c:v>5.12</c:v>
                </c:pt>
                <c:pt idx="20">
                  <c:v>5.0599999999999996</c:v>
                </c:pt>
              </c:numCache>
            </c:numRef>
          </c:yVal>
          <c:smooth val="1"/>
          <c:extLst>
            <c:ext xmlns:c16="http://schemas.microsoft.com/office/drawing/2014/chart" uri="{C3380CC4-5D6E-409C-BE32-E72D297353CC}">
              <c16:uniqueId val="{00000004-3A6E-4BFD-8F4A-C92781A0581D}"/>
            </c:ext>
          </c:extLst>
        </c:ser>
        <c:ser>
          <c:idx val="5"/>
          <c:order val="5"/>
          <c:tx>
            <c:strRef>
              <c:f>Sheet1!$B$7:$D$7</c:f>
              <c:strCache>
                <c:ptCount val="3"/>
                <c:pt idx="0">
                  <c:v>Dolerite</c:v>
                </c:pt>
                <c:pt idx="1">
                  <c:v>14.7t/ha</c:v>
                </c:pt>
                <c:pt idx="2">
                  <c:v>Cultivated</c:v>
                </c:pt>
              </c:strCache>
            </c:strRef>
          </c:tx>
          <c:spPr>
            <a:ln w="19050" cap="rnd">
              <a:solidFill>
                <a:schemeClr val="accent6">
                  <a:lumMod val="75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Sheet1!$E$7:$Y$7</c:f>
              <c:numCache>
                <c:formatCode>General</c:formatCode>
                <c:ptCount val="21"/>
                <c:pt idx="0">
                  <c:v>4.28</c:v>
                </c:pt>
                <c:pt idx="1">
                  <c:v>5.49</c:v>
                </c:pt>
                <c:pt idx="2">
                  <c:v>5.57</c:v>
                </c:pt>
                <c:pt idx="3">
                  <c:v>5.56</c:v>
                </c:pt>
                <c:pt idx="4">
                  <c:v>5.57</c:v>
                </c:pt>
                <c:pt idx="5">
                  <c:v>5.5</c:v>
                </c:pt>
                <c:pt idx="6">
                  <c:v>5.45</c:v>
                </c:pt>
                <c:pt idx="7">
                  <c:v>5.44</c:v>
                </c:pt>
                <c:pt idx="8">
                  <c:v>5.39</c:v>
                </c:pt>
                <c:pt idx="9">
                  <c:v>5.37</c:v>
                </c:pt>
                <c:pt idx="10">
                  <c:v>5.3</c:v>
                </c:pt>
                <c:pt idx="11">
                  <c:v>5.24</c:v>
                </c:pt>
                <c:pt idx="12">
                  <c:v>5.23</c:v>
                </c:pt>
                <c:pt idx="13">
                  <c:v>5.18</c:v>
                </c:pt>
                <c:pt idx="14">
                  <c:v>5.17</c:v>
                </c:pt>
                <c:pt idx="15">
                  <c:v>5.0999999999999996</c:v>
                </c:pt>
                <c:pt idx="16">
                  <c:v>5.0599999999999996</c:v>
                </c:pt>
                <c:pt idx="17">
                  <c:v>5.04</c:v>
                </c:pt>
                <c:pt idx="18">
                  <c:v>5</c:v>
                </c:pt>
                <c:pt idx="19">
                  <c:v>4.99</c:v>
                </c:pt>
                <c:pt idx="20">
                  <c:v>4.93</c:v>
                </c:pt>
              </c:numCache>
            </c:numRef>
          </c:yVal>
          <c:smooth val="1"/>
          <c:extLst>
            <c:ext xmlns:c16="http://schemas.microsoft.com/office/drawing/2014/chart" uri="{C3380CC4-5D6E-409C-BE32-E72D297353CC}">
              <c16:uniqueId val="{00000005-3A6E-4BFD-8F4A-C92781A0581D}"/>
            </c:ext>
          </c:extLst>
        </c:ser>
        <c:ser>
          <c:idx val="6"/>
          <c:order val="6"/>
          <c:tx>
            <c:strRef>
              <c:f>Sheet1!$B$8:$D$8</c:f>
              <c:strCache>
                <c:ptCount val="3"/>
                <c:pt idx="0">
                  <c:v>Nil</c:v>
                </c:pt>
                <c:pt idx="1">
                  <c:v>0t</c:v>
                </c:pt>
                <c:pt idx="2">
                  <c:v>Uncultivated</c:v>
                </c:pt>
              </c:strCache>
            </c:strRef>
          </c:tx>
          <c:spPr>
            <a:ln w="19050" cap="rnd">
              <a:solidFill>
                <a:schemeClr val="tx1"/>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Sheet1!$E$8:$Y$8</c:f>
              <c:numCache>
                <c:formatCode>General</c:formatCode>
                <c:ptCount val="21"/>
                <c:pt idx="0">
                  <c:v>4.28</c:v>
                </c:pt>
                <c:pt idx="1">
                  <c:v>4.26</c:v>
                </c:pt>
                <c:pt idx="2">
                  <c:v>4.26</c:v>
                </c:pt>
                <c:pt idx="3">
                  <c:v>4.24</c:v>
                </c:pt>
                <c:pt idx="4">
                  <c:v>4.24</c:v>
                </c:pt>
                <c:pt idx="5">
                  <c:v>4.22</c:v>
                </c:pt>
                <c:pt idx="6">
                  <c:v>4.21</c:v>
                </c:pt>
                <c:pt idx="7">
                  <c:v>4.2</c:v>
                </c:pt>
                <c:pt idx="8">
                  <c:v>4.1900000000000004</c:v>
                </c:pt>
                <c:pt idx="9">
                  <c:v>4.1900000000000004</c:v>
                </c:pt>
                <c:pt idx="10">
                  <c:v>4.18</c:v>
                </c:pt>
                <c:pt idx="11">
                  <c:v>4.16</c:v>
                </c:pt>
                <c:pt idx="12">
                  <c:v>4.16</c:v>
                </c:pt>
                <c:pt idx="13">
                  <c:v>4.1399999999999997</c:v>
                </c:pt>
                <c:pt idx="14">
                  <c:v>4.1399999999999997</c:v>
                </c:pt>
                <c:pt idx="15">
                  <c:v>4.13</c:v>
                </c:pt>
                <c:pt idx="16">
                  <c:v>4.12</c:v>
                </c:pt>
                <c:pt idx="17">
                  <c:v>4.12</c:v>
                </c:pt>
                <c:pt idx="18">
                  <c:v>4.0999999999999996</c:v>
                </c:pt>
                <c:pt idx="19">
                  <c:v>4.0999999999999996</c:v>
                </c:pt>
                <c:pt idx="20">
                  <c:v>4.09</c:v>
                </c:pt>
              </c:numCache>
            </c:numRef>
          </c:yVal>
          <c:smooth val="1"/>
          <c:extLst>
            <c:ext xmlns:c16="http://schemas.microsoft.com/office/drawing/2014/chart" uri="{C3380CC4-5D6E-409C-BE32-E72D297353CC}">
              <c16:uniqueId val="{00000006-3A6E-4BFD-8F4A-C92781A0581D}"/>
            </c:ext>
          </c:extLst>
        </c:ser>
        <c:dLbls>
          <c:showLegendKey val="0"/>
          <c:showVal val="0"/>
          <c:showCatName val="0"/>
          <c:showSerName val="0"/>
          <c:showPercent val="0"/>
          <c:showBubbleSize val="0"/>
        </c:dLbls>
        <c:axId val="468598111"/>
        <c:axId val="468601439"/>
      </c:scatterChart>
      <c:valAx>
        <c:axId val="468598111"/>
        <c:scaling>
          <c:orientation val="minMax"/>
          <c:max val="2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8601439"/>
        <c:crosses val="autoZero"/>
        <c:crossBetween val="midCat"/>
        <c:majorUnit val="1"/>
      </c:valAx>
      <c:valAx>
        <c:axId val="468601439"/>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pH</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8598111"/>
        <c:crosses val="autoZero"/>
        <c:crossBetween val="midCat"/>
      </c:valAx>
      <c:spPr>
        <a:noFill/>
        <a:ln>
          <a:noFill/>
        </a:ln>
        <a:effectLst/>
      </c:spPr>
    </c:plotArea>
    <c:legend>
      <c:legendPos val="b"/>
      <c:layout>
        <c:manualLayout>
          <c:xMode val="edge"/>
          <c:yMode val="edge"/>
          <c:x val="0.75648210469330124"/>
          <c:y val="0.13305316709953857"/>
          <c:w val="0.21514493602614707"/>
          <c:h val="0.833728611942325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46404980547272E-2"/>
          <c:y val="3.8464957954484652E-2"/>
          <c:w val="0.70476424413084848"/>
          <c:h val="0.82335727439739215"/>
        </c:manualLayout>
      </c:layout>
      <c:scatterChart>
        <c:scatterStyle val="smoothMarker"/>
        <c:varyColors val="0"/>
        <c:ser>
          <c:idx val="0"/>
          <c:order val="0"/>
          <c:tx>
            <c:strRef>
              <c:f>Sheet1!$B$9:$D$9</c:f>
              <c:strCache>
                <c:ptCount val="3"/>
                <c:pt idx="0">
                  <c:v>Depositional Morrel</c:v>
                </c:pt>
                <c:pt idx="1">
                  <c:v>8.6t/ha</c:v>
                </c:pt>
                <c:pt idx="2">
                  <c:v>Cultivated</c:v>
                </c:pt>
              </c:strCache>
            </c:strRef>
          </c:tx>
          <c:spPr>
            <a:ln w="19050" cap="rnd">
              <a:solidFill>
                <a:schemeClr val="accent2"/>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Sheet1!$E$9:$Y$9</c:f>
              <c:numCache>
                <c:formatCode>General</c:formatCode>
                <c:ptCount val="21"/>
                <c:pt idx="0">
                  <c:v>4.18</c:v>
                </c:pt>
                <c:pt idx="1">
                  <c:v>5.31</c:v>
                </c:pt>
                <c:pt idx="2">
                  <c:v>5.52</c:v>
                </c:pt>
                <c:pt idx="3">
                  <c:v>5.6</c:v>
                </c:pt>
                <c:pt idx="4">
                  <c:v>5.67</c:v>
                </c:pt>
                <c:pt idx="5">
                  <c:v>5.67</c:v>
                </c:pt>
                <c:pt idx="6">
                  <c:v>5.67</c:v>
                </c:pt>
                <c:pt idx="7">
                  <c:v>5.69</c:v>
                </c:pt>
                <c:pt idx="8">
                  <c:v>5.68</c:v>
                </c:pt>
                <c:pt idx="9">
                  <c:v>5.69</c:v>
                </c:pt>
                <c:pt idx="10">
                  <c:v>5.65</c:v>
                </c:pt>
                <c:pt idx="11">
                  <c:v>5.63</c:v>
                </c:pt>
                <c:pt idx="12">
                  <c:v>5.63</c:v>
                </c:pt>
                <c:pt idx="13">
                  <c:v>5.6</c:v>
                </c:pt>
                <c:pt idx="14">
                  <c:v>5.6</c:v>
                </c:pt>
                <c:pt idx="15">
                  <c:v>5.55</c:v>
                </c:pt>
                <c:pt idx="16">
                  <c:v>5.52</c:v>
                </c:pt>
                <c:pt idx="17">
                  <c:v>5.51</c:v>
                </c:pt>
                <c:pt idx="18">
                  <c:v>5.48</c:v>
                </c:pt>
                <c:pt idx="19">
                  <c:v>5.47</c:v>
                </c:pt>
                <c:pt idx="20">
                  <c:v>5.43</c:v>
                </c:pt>
              </c:numCache>
            </c:numRef>
          </c:yVal>
          <c:smooth val="1"/>
          <c:extLst>
            <c:ext xmlns:c16="http://schemas.microsoft.com/office/drawing/2014/chart" uri="{C3380CC4-5D6E-409C-BE32-E72D297353CC}">
              <c16:uniqueId val="{00000000-0E76-4452-9837-50D0C0C7000C}"/>
            </c:ext>
          </c:extLst>
        </c:ser>
        <c:ser>
          <c:idx val="1"/>
          <c:order val="1"/>
          <c:tx>
            <c:strRef>
              <c:f>Sheet1!$B$10:$D$10</c:f>
              <c:strCache>
                <c:ptCount val="3"/>
                <c:pt idx="0">
                  <c:v>Lancelin Limesand</c:v>
                </c:pt>
                <c:pt idx="1">
                  <c:v>4t</c:v>
                </c:pt>
                <c:pt idx="2">
                  <c:v>Cultivated</c:v>
                </c:pt>
              </c:strCache>
            </c:strRef>
          </c:tx>
          <c:spPr>
            <a:ln w="19050" cap="rnd">
              <a:solidFill>
                <a:schemeClr val="accent5">
                  <a:lumMod val="75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Sheet1!$E$10:$Y$10</c:f>
              <c:numCache>
                <c:formatCode>General</c:formatCode>
                <c:ptCount val="21"/>
                <c:pt idx="0">
                  <c:v>4.18</c:v>
                </c:pt>
                <c:pt idx="1">
                  <c:v>5.18</c:v>
                </c:pt>
                <c:pt idx="2">
                  <c:v>5.35</c:v>
                </c:pt>
                <c:pt idx="3">
                  <c:v>5.42</c:v>
                </c:pt>
                <c:pt idx="4">
                  <c:v>5.47</c:v>
                </c:pt>
                <c:pt idx="5">
                  <c:v>5.46</c:v>
                </c:pt>
                <c:pt idx="6">
                  <c:v>5.46</c:v>
                </c:pt>
                <c:pt idx="7">
                  <c:v>5.47</c:v>
                </c:pt>
                <c:pt idx="8">
                  <c:v>5.46</c:v>
                </c:pt>
                <c:pt idx="9">
                  <c:v>5.46</c:v>
                </c:pt>
                <c:pt idx="10">
                  <c:v>5.42</c:v>
                </c:pt>
                <c:pt idx="11">
                  <c:v>5.4</c:v>
                </c:pt>
                <c:pt idx="12">
                  <c:v>5.39</c:v>
                </c:pt>
                <c:pt idx="13">
                  <c:v>5.36</c:v>
                </c:pt>
                <c:pt idx="14">
                  <c:v>5.36</c:v>
                </c:pt>
                <c:pt idx="15">
                  <c:v>5.31</c:v>
                </c:pt>
                <c:pt idx="16">
                  <c:v>5.28</c:v>
                </c:pt>
                <c:pt idx="17">
                  <c:v>5.27</c:v>
                </c:pt>
                <c:pt idx="18">
                  <c:v>5.24</c:v>
                </c:pt>
                <c:pt idx="19">
                  <c:v>5.23</c:v>
                </c:pt>
                <c:pt idx="20">
                  <c:v>5.19</c:v>
                </c:pt>
              </c:numCache>
            </c:numRef>
          </c:yVal>
          <c:smooth val="1"/>
          <c:extLst>
            <c:ext xmlns:c16="http://schemas.microsoft.com/office/drawing/2014/chart" uri="{C3380CC4-5D6E-409C-BE32-E72D297353CC}">
              <c16:uniqueId val="{00000001-0E76-4452-9837-50D0C0C7000C}"/>
            </c:ext>
          </c:extLst>
        </c:ser>
        <c:ser>
          <c:idx val="2"/>
          <c:order val="2"/>
          <c:tx>
            <c:strRef>
              <c:f>Sheet1!$B$11:$D$11</c:f>
              <c:strCache>
                <c:ptCount val="3"/>
                <c:pt idx="0">
                  <c:v>Dolerite</c:v>
                </c:pt>
                <c:pt idx="1">
                  <c:v>14.7t/ha</c:v>
                </c:pt>
                <c:pt idx="2">
                  <c:v>Cultivated</c:v>
                </c:pt>
              </c:strCache>
            </c:strRef>
          </c:tx>
          <c:spPr>
            <a:ln w="19050" cap="rnd">
              <a:solidFill>
                <a:schemeClr val="accent6">
                  <a:lumMod val="75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Sheet1!$E$11:$Y$11</c:f>
              <c:numCache>
                <c:formatCode>General</c:formatCode>
                <c:ptCount val="21"/>
                <c:pt idx="0">
                  <c:v>4.18</c:v>
                </c:pt>
                <c:pt idx="1">
                  <c:v>5.44</c:v>
                </c:pt>
                <c:pt idx="2">
                  <c:v>5.51</c:v>
                </c:pt>
                <c:pt idx="3">
                  <c:v>5.51</c:v>
                </c:pt>
                <c:pt idx="4">
                  <c:v>5.51</c:v>
                </c:pt>
                <c:pt idx="5">
                  <c:v>5.47</c:v>
                </c:pt>
                <c:pt idx="6">
                  <c:v>5.44</c:v>
                </c:pt>
                <c:pt idx="7">
                  <c:v>5.44</c:v>
                </c:pt>
                <c:pt idx="8">
                  <c:v>5.4</c:v>
                </c:pt>
                <c:pt idx="9">
                  <c:v>5.39</c:v>
                </c:pt>
                <c:pt idx="10">
                  <c:v>5.35</c:v>
                </c:pt>
                <c:pt idx="11">
                  <c:v>5.31</c:v>
                </c:pt>
                <c:pt idx="12">
                  <c:v>5.3</c:v>
                </c:pt>
                <c:pt idx="13">
                  <c:v>5.27</c:v>
                </c:pt>
                <c:pt idx="14">
                  <c:v>5.26</c:v>
                </c:pt>
                <c:pt idx="15">
                  <c:v>5.22</c:v>
                </c:pt>
                <c:pt idx="16">
                  <c:v>5.19</c:v>
                </c:pt>
                <c:pt idx="17">
                  <c:v>5.18</c:v>
                </c:pt>
                <c:pt idx="18">
                  <c:v>5.15</c:v>
                </c:pt>
                <c:pt idx="19">
                  <c:v>5.14</c:v>
                </c:pt>
                <c:pt idx="20">
                  <c:v>5.0999999999999996</c:v>
                </c:pt>
              </c:numCache>
            </c:numRef>
          </c:yVal>
          <c:smooth val="1"/>
          <c:extLst>
            <c:ext xmlns:c16="http://schemas.microsoft.com/office/drawing/2014/chart" uri="{C3380CC4-5D6E-409C-BE32-E72D297353CC}">
              <c16:uniqueId val="{00000002-0E76-4452-9837-50D0C0C7000C}"/>
            </c:ext>
          </c:extLst>
        </c:ser>
        <c:ser>
          <c:idx val="3"/>
          <c:order val="3"/>
          <c:tx>
            <c:strRef>
              <c:f>Sheet1!$B$12:$D$12</c:f>
              <c:strCache>
                <c:ptCount val="3"/>
                <c:pt idx="0">
                  <c:v>Dolerite</c:v>
                </c:pt>
                <c:pt idx="1">
                  <c:v>14.7t/ha</c:v>
                </c:pt>
                <c:pt idx="2">
                  <c:v>Uncultivated</c:v>
                </c:pt>
              </c:strCache>
            </c:strRef>
          </c:tx>
          <c:spPr>
            <a:ln w="19050" cap="rnd">
              <a:solidFill>
                <a:schemeClr val="accent6">
                  <a:lumMod val="60000"/>
                  <a:lumOff val="40000"/>
                </a:schemeClr>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Sheet1!$E$12:$Y$12</c:f>
              <c:numCache>
                <c:formatCode>General</c:formatCode>
                <c:ptCount val="21"/>
                <c:pt idx="0">
                  <c:v>4.18</c:v>
                </c:pt>
                <c:pt idx="1">
                  <c:v>4.29</c:v>
                </c:pt>
                <c:pt idx="2">
                  <c:v>4.3499999999999996</c:v>
                </c:pt>
                <c:pt idx="3">
                  <c:v>4.41</c:v>
                </c:pt>
                <c:pt idx="4">
                  <c:v>4.47</c:v>
                </c:pt>
                <c:pt idx="5">
                  <c:v>4.53</c:v>
                </c:pt>
                <c:pt idx="6">
                  <c:v>4.59</c:v>
                </c:pt>
                <c:pt idx="7">
                  <c:v>4.66</c:v>
                </c:pt>
                <c:pt idx="8">
                  <c:v>4.72</c:v>
                </c:pt>
                <c:pt idx="9">
                  <c:v>4.79</c:v>
                </c:pt>
                <c:pt idx="10">
                  <c:v>4.83</c:v>
                </c:pt>
                <c:pt idx="11">
                  <c:v>4.87</c:v>
                </c:pt>
                <c:pt idx="12">
                  <c:v>4.92</c:v>
                </c:pt>
                <c:pt idx="13">
                  <c:v>4.96</c:v>
                </c:pt>
                <c:pt idx="14">
                  <c:v>5</c:v>
                </c:pt>
                <c:pt idx="15">
                  <c:v>5.01</c:v>
                </c:pt>
                <c:pt idx="16">
                  <c:v>5.03</c:v>
                </c:pt>
                <c:pt idx="17">
                  <c:v>5.05</c:v>
                </c:pt>
                <c:pt idx="18">
                  <c:v>5.05</c:v>
                </c:pt>
                <c:pt idx="19">
                  <c:v>5.07</c:v>
                </c:pt>
                <c:pt idx="20">
                  <c:v>5.05</c:v>
                </c:pt>
              </c:numCache>
            </c:numRef>
          </c:yVal>
          <c:smooth val="1"/>
          <c:extLst>
            <c:ext xmlns:c16="http://schemas.microsoft.com/office/drawing/2014/chart" uri="{C3380CC4-5D6E-409C-BE32-E72D297353CC}">
              <c16:uniqueId val="{00000003-0E76-4452-9837-50D0C0C7000C}"/>
            </c:ext>
          </c:extLst>
        </c:ser>
        <c:ser>
          <c:idx val="4"/>
          <c:order val="4"/>
          <c:tx>
            <c:strRef>
              <c:f>Sheet1!$B$13:$D$13</c:f>
              <c:strCache>
                <c:ptCount val="3"/>
                <c:pt idx="0">
                  <c:v>Depositional Morrel</c:v>
                </c:pt>
                <c:pt idx="1">
                  <c:v>8.6t/ha</c:v>
                </c:pt>
                <c:pt idx="2">
                  <c:v>Uncultivated</c:v>
                </c:pt>
              </c:strCache>
            </c:strRef>
          </c:tx>
          <c:spPr>
            <a:ln w="19050" cap="rnd">
              <a:solidFill>
                <a:schemeClr val="accent4"/>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Sheet1!$E$13:$Y$13</c:f>
              <c:numCache>
                <c:formatCode>General</c:formatCode>
                <c:ptCount val="21"/>
                <c:pt idx="0">
                  <c:v>4.18</c:v>
                </c:pt>
                <c:pt idx="1">
                  <c:v>4.25</c:v>
                </c:pt>
                <c:pt idx="2">
                  <c:v>4.28</c:v>
                </c:pt>
                <c:pt idx="3">
                  <c:v>4.3</c:v>
                </c:pt>
                <c:pt idx="4">
                  <c:v>4.33</c:v>
                </c:pt>
                <c:pt idx="5">
                  <c:v>4.3600000000000003</c:v>
                </c:pt>
                <c:pt idx="6">
                  <c:v>4.3899999999999997</c:v>
                </c:pt>
                <c:pt idx="7">
                  <c:v>4.42</c:v>
                </c:pt>
                <c:pt idx="8">
                  <c:v>4.46</c:v>
                </c:pt>
                <c:pt idx="9">
                  <c:v>4.5</c:v>
                </c:pt>
                <c:pt idx="10">
                  <c:v>4.53</c:v>
                </c:pt>
                <c:pt idx="11">
                  <c:v>4.5599999999999996</c:v>
                </c:pt>
                <c:pt idx="12">
                  <c:v>4.5999999999999996</c:v>
                </c:pt>
                <c:pt idx="13">
                  <c:v>4.63</c:v>
                </c:pt>
                <c:pt idx="14">
                  <c:v>4.67</c:v>
                </c:pt>
                <c:pt idx="15">
                  <c:v>4.7</c:v>
                </c:pt>
                <c:pt idx="16">
                  <c:v>4.7300000000000004</c:v>
                </c:pt>
                <c:pt idx="17">
                  <c:v>4.7699999999999996</c:v>
                </c:pt>
                <c:pt idx="18">
                  <c:v>4.8</c:v>
                </c:pt>
                <c:pt idx="19">
                  <c:v>4.84</c:v>
                </c:pt>
                <c:pt idx="20">
                  <c:v>4.8600000000000003</c:v>
                </c:pt>
              </c:numCache>
            </c:numRef>
          </c:yVal>
          <c:smooth val="1"/>
          <c:extLst>
            <c:ext xmlns:c16="http://schemas.microsoft.com/office/drawing/2014/chart" uri="{C3380CC4-5D6E-409C-BE32-E72D297353CC}">
              <c16:uniqueId val="{00000004-0E76-4452-9837-50D0C0C7000C}"/>
            </c:ext>
          </c:extLst>
        </c:ser>
        <c:ser>
          <c:idx val="5"/>
          <c:order val="5"/>
          <c:tx>
            <c:strRef>
              <c:f>Sheet1!$B$14:$D$14</c:f>
              <c:strCache>
                <c:ptCount val="3"/>
                <c:pt idx="0">
                  <c:v>Lancelin Limesand</c:v>
                </c:pt>
                <c:pt idx="1">
                  <c:v>4t</c:v>
                </c:pt>
                <c:pt idx="2">
                  <c:v>Uncultivated</c:v>
                </c:pt>
              </c:strCache>
            </c:strRef>
          </c:tx>
          <c:spPr>
            <a:ln w="19050" cap="rnd">
              <a:solidFill>
                <a:schemeClr val="accent1"/>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Sheet1!$E$14:$Y$14</c:f>
              <c:numCache>
                <c:formatCode>General</c:formatCode>
                <c:ptCount val="21"/>
                <c:pt idx="0">
                  <c:v>4.18</c:v>
                </c:pt>
                <c:pt idx="1">
                  <c:v>4.25</c:v>
                </c:pt>
                <c:pt idx="2">
                  <c:v>4.2699999999999996</c:v>
                </c:pt>
                <c:pt idx="3">
                  <c:v>4.29</c:v>
                </c:pt>
                <c:pt idx="4">
                  <c:v>4.3099999999999996</c:v>
                </c:pt>
                <c:pt idx="5">
                  <c:v>4.34</c:v>
                </c:pt>
                <c:pt idx="6">
                  <c:v>4.3600000000000003</c:v>
                </c:pt>
                <c:pt idx="7">
                  <c:v>4.3899999999999997</c:v>
                </c:pt>
                <c:pt idx="8">
                  <c:v>4.41</c:v>
                </c:pt>
                <c:pt idx="9">
                  <c:v>4.4400000000000004</c:v>
                </c:pt>
                <c:pt idx="10">
                  <c:v>4.46</c:v>
                </c:pt>
                <c:pt idx="11">
                  <c:v>4.4800000000000004</c:v>
                </c:pt>
                <c:pt idx="12">
                  <c:v>4.51</c:v>
                </c:pt>
                <c:pt idx="13">
                  <c:v>4.53</c:v>
                </c:pt>
                <c:pt idx="14">
                  <c:v>4.5599999999999996</c:v>
                </c:pt>
                <c:pt idx="15">
                  <c:v>4.57</c:v>
                </c:pt>
                <c:pt idx="16">
                  <c:v>4.59</c:v>
                </c:pt>
                <c:pt idx="17">
                  <c:v>4.62</c:v>
                </c:pt>
                <c:pt idx="18">
                  <c:v>4.63</c:v>
                </c:pt>
                <c:pt idx="19">
                  <c:v>4.66</c:v>
                </c:pt>
                <c:pt idx="20">
                  <c:v>4.66</c:v>
                </c:pt>
              </c:numCache>
            </c:numRef>
          </c:yVal>
          <c:smooth val="1"/>
          <c:extLst>
            <c:ext xmlns:c16="http://schemas.microsoft.com/office/drawing/2014/chart" uri="{C3380CC4-5D6E-409C-BE32-E72D297353CC}">
              <c16:uniqueId val="{00000005-0E76-4452-9837-50D0C0C7000C}"/>
            </c:ext>
          </c:extLst>
        </c:ser>
        <c:ser>
          <c:idx val="6"/>
          <c:order val="6"/>
          <c:tx>
            <c:strRef>
              <c:f>Sheet1!$B$15:$D$15</c:f>
              <c:strCache>
                <c:ptCount val="3"/>
                <c:pt idx="0">
                  <c:v>Nil</c:v>
                </c:pt>
                <c:pt idx="1">
                  <c:v>0t</c:v>
                </c:pt>
                <c:pt idx="2">
                  <c:v>Uncultivated</c:v>
                </c:pt>
              </c:strCache>
            </c:strRef>
          </c:tx>
          <c:spPr>
            <a:ln w="19050" cap="rnd">
              <a:solidFill>
                <a:schemeClr val="tx1"/>
              </a:solidFill>
              <a:round/>
            </a:ln>
            <a:effectLst/>
          </c:spPr>
          <c:marker>
            <c:symbol val="none"/>
          </c:marker>
          <c:xVal>
            <c:numRef>
              <c:f>Sheet1!$E$1:$Y$1</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xVal>
          <c:yVal>
            <c:numRef>
              <c:f>Sheet1!$E$15:$Y$15</c:f>
              <c:numCache>
                <c:formatCode>General</c:formatCode>
                <c:ptCount val="21"/>
                <c:pt idx="0">
                  <c:v>4.18</c:v>
                </c:pt>
                <c:pt idx="1">
                  <c:v>4.17</c:v>
                </c:pt>
                <c:pt idx="2">
                  <c:v>4.17</c:v>
                </c:pt>
                <c:pt idx="3">
                  <c:v>4.17</c:v>
                </c:pt>
                <c:pt idx="4">
                  <c:v>4.17</c:v>
                </c:pt>
                <c:pt idx="5">
                  <c:v>4.16</c:v>
                </c:pt>
                <c:pt idx="6">
                  <c:v>4.16</c:v>
                </c:pt>
                <c:pt idx="7">
                  <c:v>4.16</c:v>
                </c:pt>
                <c:pt idx="8">
                  <c:v>4.1500000000000004</c:v>
                </c:pt>
                <c:pt idx="9">
                  <c:v>4.1500000000000004</c:v>
                </c:pt>
                <c:pt idx="10">
                  <c:v>4.1500000000000004</c:v>
                </c:pt>
                <c:pt idx="11">
                  <c:v>4.1399999999999997</c:v>
                </c:pt>
                <c:pt idx="12">
                  <c:v>4.1399999999999997</c:v>
                </c:pt>
                <c:pt idx="13">
                  <c:v>4.1399999999999997</c:v>
                </c:pt>
                <c:pt idx="14">
                  <c:v>4.13</c:v>
                </c:pt>
                <c:pt idx="15">
                  <c:v>4.13</c:v>
                </c:pt>
                <c:pt idx="16">
                  <c:v>4.13</c:v>
                </c:pt>
                <c:pt idx="17">
                  <c:v>4.13</c:v>
                </c:pt>
                <c:pt idx="18">
                  <c:v>4.12</c:v>
                </c:pt>
                <c:pt idx="19">
                  <c:v>4.12</c:v>
                </c:pt>
                <c:pt idx="20">
                  <c:v>4.12</c:v>
                </c:pt>
              </c:numCache>
            </c:numRef>
          </c:yVal>
          <c:smooth val="1"/>
          <c:extLst>
            <c:ext xmlns:c16="http://schemas.microsoft.com/office/drawing/2014/chart" uri="{C3380CC4-5D6E-409C-BE32-E72D297353CC}">
              <c16:uniqueId val="{00000006-0E76-4452-9837-50D0C0C7000C}"/>
            </c:ext>
          </c:extLst>
        </c:ser>
        <c:dLbls>
          <c:showLegendKey val="0"/>
          <c:showVal val="0"/>
          <c:showCatName val="0"/>
          <c:showSerName val="0"/>
          <c:showPercent val="0"/>
          <c:showBubbleSize val="0"/>
        </c:dLbls>
        <c:axId val="468598111"/>
        <c:axId val="468601439"/>
      </c:scatterChart>
      <c:valAx>
        <c:axId val="468598111"/>
        <c:scaling>
          <c:orientation val="minMax"/>
          <c:max val="20"/>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8601439"/>
        <c:crosses val="autoZero"/>
        <c:crossBetween val="midCat"/>
        <c:majorUnit val="1"/>
      </c:valAx>
      <c:valAx>
        <c:axId val="468601439"/>
        <c:scaling>
          <c:orientation val="minMax"/>
          <c:max val="6"/>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pH</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68598111"/>
        <c:crosses val="autoZero"/>
        <c:crossBetween val="midCat"/>
      </c:valAx>
      <c:spPr>
        <a:noFill/>
        <a:ln>
          <a:noFill/>
        </a:ln>
        <a:effectLst/>
      </c:spPr>
    </c:plotArea>
    <c:legend>
      <c:legendPos val="b"/>
      <c:layout>
        <c:manualLayout>
          <c:xMode val="edge"/>
          <c:yMode val="edge"/>
          <c:x val="0.77290078093752901"/>
          <c:y val="0.1800998122979211"/>
          <c:w val="0.19872625978191927"/>
          <c:h val="0.7866819211701101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2613-E90D-44FD-A3C9-EA8EB3BC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15946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Nash</dc:creator>
  <cp:lastModifiedBy>Angie Kearsley</cp:lastModifiedBy>
  <cp:revision>2</cp:revision>
  <cp:lastPrinted>2020-01-15T07:12:00Z</cp:lastPrinted>
  <dcterms:created xsi:type="dcterms:W3CDTF">2020-02-17T06:46:00Z</dcterms:created>
  <dcterms:modified xsi:type="dcterms:W3CDTF">2020-02-17T06:46:00Z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