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5090" w14:textId="77777777" w:rsidR="008C3884" w:rsidRPr="008C3884" w:rsidRDefault="008C3884" w:rsidP="006641A6">
      <w:pPr>
        <w:pStyle w:val="Author"/>
        <w:rPr>
          <w:rFonts w:eastAsiaTheme="majorEastAsia" w:cstheme="majorBidi"/>
          <w:bCs w:val="0"/>
          <w:sz w:val="32"/>
          <w:szCs w:val="32"/>
          <w:lang w:eastAsia="en-US"/>
        </w:rPr>
      </w:pPr>
      <w:bookmarkStart w:id="0" w:name="_GoBack"/>
      <w:r w:rsidRPr="008C3884">
        <w:rPr>
          <w:rFonts w:eastAsiaTheme="majorEastAsia" w:cstheme="majorBidi"/>
          <w:bCs w:val="0"/>
          <w:sz w:val="32"/>
          <w:szCs w:val="32"/>
          <w:lang w:eastAsia="en-US"/>
        </w:rPr>
        <w:t>What do we know of new</w:t>
      </w:r>
      <w:r>
        <w:rPr>
          <w:rFonts w:eastAsiaTheme="majorEastAsia" w:cstheme="majorBidi"/>
          <w:bCs w:val="0"/>
          <w:sz w:val="32"/>
          <w:szCs w:val="32"/>
          <w:lang w:eastAsia="en-US"/>
        </w:rPr>
        <w:t xml:space="preserve"> </w:t>
      </w:r>
      <w:r w:rsidRPr="008C3884">
        <w:rPr>
          <w:rFonts w:eastAsiaTheme="majorEastAsia" w:cstheme="majorBidi"/>
          <w:bCs w:val="0"/>
          <w:sz w:val="32"/>
          <w:szCs w:val="32"/>
          <w:lang w:eastAsia="en-US"/>
        </w:rPr>
        <w:t xml:space="preserve">herbicides </w:t>
      </w:r>
      <w:bookmarkEnd w:id="0"/>
      <w:r w:rsidRPr="008C3884">
        <w:rPr>
          <w:rFonts w:eastAsiaTheme="majorEastAsia" w:cstheme="majorBidi"/>
          <w:bCs w:val="0"/>
          <w:sz w:val="32"/>
          <w:szCs w:val="32"/>
          <w:lang w:eastAsia="en-US"/>
        </w:rPr>
        <w:t>for annual ryegrass</w:t>
      </w:r>
    </w:p>
    <w:p w14:paraId="4FCC754F" w14:textId="77777777" w:rsidR="00622F71" w:rsidRDefault="008C3884" w:rsidP="006641A6">
      <w:pPr>
        <w:pStyle w:val="Author"/>
        <w:rPr>
          <w:rFonts w:eastAsiaTheme="majorEastAsia" w:cstheme="majorBidi"/>
          <w:bCs w:val="0"/>
          <w:sz w:val="32"/>
          <w:szCs w:val="32"/>
          <w:lang w:eastAsia="en-US"/>
        </w:rPr>
      </w:pPr>
      <w:r w:rsidRPr="008C3884">
        <w:rPr>
          <w:rFonts w:eastAsiaTheme="majorEastAsia" w:cstheme="majorBidi"/>
          <w:bCs w:val="0"/>
          <w:sz w:val="32"/>
          <w:szCs w:val="32"/>
          <w:lang w:eastAsia="en-US"/>
        </w:rPr>
        <w:t>and wild radish control?</w:t>
      </w:r>
    </w:p>
    <w:p w14:paraId="71BD3F19" w14:textId="77777777" w:rsidR="00343E07" w:rsidRPr="00636999" w:rsidRDefault="00622F71" w:rsidP="006641A6">
      <w:pPr>
        <w:pStyle w:val="Author"/>
      </w:pPr>
      <w:r>
        <w:t>Roberto Busi</w:t>
      </w:r>
      <w:r w:rsidR="00636999">
        <w:t xml:space="preserve">, </w:t>
      </w:r>
      <w:r w:rsidR="00343E07" w:rsidRPr="00343E07">
        <w:rPr>
          <w:b w:val="0"/>
        </w:rPr>
        <w:t>Australian Herbicide Resistance Initiative – The University of Western Australia</w:t>
      </w:r>
    </w:p>
    <w:p w14:paraId="042A9567" w14:textId="77777777" w:rsidR="003D0FC7" w:rsidRDefault="003D0FC7" w:rsidP="006641A6">
      <w:pPr>
        <w:pStyle w:val="Heading2"/>
        <w:rPr>
          <w:b w:val="0"/>
          <w:bCs/>
          <w:iCs/>
          <w:sz w:val="20"/>
          <w:szCs w:val="20"/>
        </w:rPr>
      </w:pPr>
      <w:r>
        <w:t>Key words</w:t>
      </w:r>
      <w:r w:rsidR="00BA403E">
        <w:t xml:space="preserve"> </w:t>
      </w:r>
      <w:r w:rsidR="002059D2">
        <w:rPr>
          <w:b w:val="0"/>
          <w:bCs/>
          <w:iCs/>
          <w:sz w:val="20"/>
          <w:szCs w:val="20"/>
        </w:rPr>
        <w:t>h</w:t>
      </w:r>
      <w:r w:rsidR="008C3884" w:rsidRPr="006641A6">
        <w:rPr>
          <w:b w:val="0"/>
          <w:bCs/>
          <w:iCs/>
          <w:sz w:val="20"/>
          <w:szCs w:val="20"/>
        </w:rPr>
        <w:t xml:space="preserve">erbicide mixtures, </w:t>
      </w:r>
      <w:r w:rsidR="002059D2">
        <w:rPr>
          <w:b w:val="0"/>
          <w:bCs/>
          <w:iCs/>
          <w:sz w:val="20"/>
          <w:szCs w:val="20"/>
        </w:rPr>
        <w:t>h</w:t>
      </w:r>
      <w:r w:rsidR="008C3884" w:rsidRPr="006641A6">
        <w:rPr>
          <w:b w:val="0"/>
          <w:bCs/>
          <w:iCs/>
          <w:sz w:val="20"/>
          <w:szCs w:val="20"/>
        </w:rPr>
        <w:t xml:space="preserve">erbicide resistance, </w:t>
      </w:r>
      <w:r w:rsidR="002059D2">
        <w:rPr>
          <w:b w:val="0"/>
          <w:bCs/>
          <w:iCs/>
          <w:sz w:val="20"/>
          <w:szCs w:val="20"/>
        </w:rPr>
        <w:t>h</w:t>
      </w:r>
      <w:r w:rsidR="008C3884" w:rsidRPr="006641A6">
        <w:rPr>
          <w:b w:val="0"/>
          <w:bCs/>
          <w:iCs/>
          <w:sz w:val="20"/>
          <w:szCs w:val="20"/>
        </w:rPr>
        <w:t xml:space="preserve">erbicide testing, </w:t>
      </w:r>
      <w:r w:rsidR="002059D2">
        <w:rPr>
          <w:b w:val="0"/>
          <w:bCs/>
          <w:iCs/>
          <w:sz w:val="20"/>
          <w:szCs w:val="20"/>
        </w:rPr>
        <w:t>r</w:t>
      </w:r>
      <w:r w:rsidR="00836EC7" w:rsidRPr="006641A6">
        <w:rPr>
          <w:b w:val="0"/>
          <w:bCs/>
          <w:iCs/>
          <w:sz w:val="20"/>
          <w:szCs w:val="20"/>
        </w:rPr>
        <w:t xml:space="preserve">esistance mitigation, </w:t>
      </w:r>
      <w:r w:rsidR="002059D2">
        <w:rPr>
          <w:b w:val="0"/>
          <w:bCs/>
          <w:iCs/>
          <w:sz w:val="20"/>
          <w:szCs w:val="20"/>
        </w:rPr>
        <w:t>w</w:t>
      </w:r>
      <w:r w:rsidR="00836EC7" w:rsidRPr="006641A6">
        <w:rPr>
          <w:b w:val="0"/>
          <w:bCs/>
          <w:iCs/>
          <w:sz w:val="20"/>
          <w:szCs w:val="20"/>
        </w:rPr>
        <w:t>eed control</w:t>
      </w:r>
    </w:p>
    <w:p w14:paraId="70B23282" w14:textId="77777777" w:rsidR="00CB7679" w:rsidRPr="006641A6" w:rsidRDefault="00CB7679" w:rsidP="006641A6">
      <w:pPr>
        <w:rPr>
          <w:b/>
        </w:rPr>
      </w:pPr>
      <w:r w:rsidRPr="006641A6">
        <w:rPr>
          <w:b/>
          <w:sz w:val="22"/>
        </w:rPr>
        <w:t xml:space="preserve">GRDC Project Code Number: </w:t>
      </w:r>
      <w:r w:rsidR="00DA20B7" w:rsidRPr="0071779A">
        <w:rPr>
          <w:b/>
        </w:rPr>
        <w:t xml:space="preserve"> </w:t>
      </w:r>
      <w:r w:rsidR="0071779A">
        <w:t>UWA1803,</w:t>
      </w:r>
      <w:r w:rsidR="00DA20B7" w:rsidRPr="0071779A">
        <w:t xml:space="preserve"> UWA 00171</w:t>
      </w:r>
    </w:p>
    <w:p w14:paraId="7F4897DD" w14:textId="77777777" w:rsidR="008C6588" w:rsidRPr="008F2638" w:rsidRDefault="008C6588" w:rsidP="006641A6">
      <w:pPr>
        <w:pStyle w:val="Heading2"/>
      </w:pPr>
      <w:r w:rsidRPr="008F2638">
        <w:t xml:space="preserve">Key </w:t>
      </w:r>
      <w:r w:rsidR="000D10A8" w:rsidRPr="008F2638">
        <w:t>m</w:t>
      </w:r>
      <w:r w:rsidRPr="008F2638">
        <w:t>essages</w:t>
      </w:r>
    </w:p>
    <w:p w14:paraId="1EF6F631" w14:textId="77777777" w:rsidR="0045503F" w:rsidRDefault="0045503F" w:rsidP="006641A6">
      <w:pPr>
        <w:pStyle w:val="ListParagraph"/>
        <w:numPr>
          <w:ilvl w:val="0"/>
          <w:numId w:val="18"/>
        </w:numPr>
        <w:jc w:val="both"/>
      </w:pPr>
      <w:r>
        <w:t xml:space="preserve">Herbicide resistance testing can provide useful </w:t>
      </w:r>
      <w:r w:rsidR="00564322">
        <w:t xml:space="preserve">information </w:t>
      </w:r>
      <w:r>
        <w:t>for weed control programs</w:t>
      </w:r>
      <w:r w:rsidR="00CB7679">
        <w:t>.</w:t>
      </w:r>
    </w:p>
    <w:p w14:paraId="034F87DA" w14:textId="77777777" w:rsidR="008C6588" w:rsidRDefault="00D924E4" w:rsidP="006641A6">
      <w:pPr>
        <w:pStyle w:val="ListParagraph"/>
        <w:numPr>
          <w:ilvl w:val="0"/>
          <w:numId w:val="18"/>
        </w:numPr>
        <w:jc w:val="both"/>
      </w:pPr>
      <w:r>
        <w:t>Extensive herbicide resistance testing across 100+ weed populations shows t</w:t>
      </w:r>
      <w:r w:rsidR="00D86C7B">
        <w:t>wo-way h</w:t>
      </w:r>
      <w:r w:rsidR="008C3884">
        <w:t xml:space="preserve">erbicide mixtures </w:t>
      </w:r>
      <w:r w:rsidR="00093B53">
        <w:t>(</w:t>
      </w:r>
      <w:r w:rsidR="00D86C7B">
        <w:t>at the highest recommended label rate</w:t>
      </w:r>
      <w:r w:rsidR="00093B53">
        <w:t>)</w:t>
      </w:r>
      <w:r w:rsidR="00D86C7B">
        <w:t xml:space="preserve"> </w:t>
      </w:r>
      <w:r w:rsidR="00B93F44">
        <w:t>can provide</w:t>
      </w:r>
      <w:r w:rsidR="00D86C7B">
        <w:t xml:space="preserve"> </w:t>
      </w:r>
      <w:r w:rsidR="00B93F44">
        <w:t xml:space="preserve">highly effective </w:t>
      </w:r>
      <w:r w:rsidR="00D86C7B">
        <w:t>weed control</w:t>
      </w:r>
      <w:r w:rsidR="00CB7679">
        <w:t>.</w:t>
      </w:r>
    </w:p>
    <w:p w14:paraId="1D1B65B4" w14:textId="77777777" w:rsidR="0045503F" w:rsidRDefault="00B93F44" w:rsidP="006641A6">
      <w:pPr>
        <w:pStyle w:val="ListParagraph"/>
        <w:numPr>
          <w:ilvl w:val="0"/>
          <w:numId w:val="18"/>
        </w:numPr>
        <w:jc w:val="both"/>
      </w:pPr>
      <w:r>
        <w:t>A ‘m</w:t>
      </w:r>
      <w:r w:rsidR="0045503F">
        <w:t>ix and rotate</w:t>
      </w:r>
      <w:r>
        <w:t>’ strategy should be adopted</w:t>
      </w:r>
      <w:r w:rsidR="0045503F">
        <w:t xml:space="preserve"> by testing and deploying the most effective h</w:t>
      </w:r>
      <w:r w:rsidR="00D86C7B">
        <w:t>erbicide mixture</w:t>
      </w:r>
      <w:r w:rsidR="00CB7679">
        <w:t>.</w:t>
      </w:r>
    </w:p>
    <w:p w14:paraId="3F196403" w14:textId="77777777" w:rsidR="004A41F7" w:rsidRDefault="0045503F" w:rsidP="006641A6">
      <w:pPr>
        <w:pStyle w:val="ListParagraph"/>
        <w:numPr>
          <w:ilvl w:val="0"/>
          <w:numId w:val="18"/>
        </w:numPr>
        <w:jc w:val="both"/>
      </w:pPr>
      <w:r>
        <w:t>Herbicide mixture</w:t>
      </w:r>
      <w:r w:rsidR="00B93F44">
        <w:t>s</w:t>
      </w:r>
      <w:r>
        <w:t xml:space="preserve"> </w:t>
      </w:r>
      <w:r w:rsidR="00B479C0">
        <w:t xml:space="preserve">are not a </w:t>
      </w:r>
      <w:r>
        <w:t>‘</w:t>
      </w:r>
      <w:r w:rsidR="00B479C0">
        <w:t>silver bullet</w:t>
      </w:r>
      <w:r>
        <w:t>’ in weed control (…</w:t>
      </w:r>
      <w:r w:rsidR="00B479C0">
        <w:t xml:space="preserve">but </w:t>
      </w:r>
      <w:r>
        <w:t xml:space="preserve">surely </w:t>
      </w:r>
      <w:r w:rsidR="00B479C0">
        <w:t>a very difficult one to dodge</w:t>
      </w:r>
      <w:r>
        <w:t>)</w:t>
      </w:r>
      <w:r w:rsidR="00B479C0">
        <w:t>.</w:t>
      </w:r>
    </w:p>
    <w:p w14:paraId="4C1EABB8" w14:textId="77777777" w:rsidR="00D47CF1" w:rsidRDefault="00D47CF1" w:rsidP="006641A6">
      <w:pPr>
        <w:pStyle w:val="Heading2"/>
      </w:pPr>
      <w:r>
        <w:t>Introduction</w:t>
      </w:r>
    </w:p>
    <w:p w14:paraId="4FAE8982" w14:textId="77777777" w:rsidR="00965334" w:rsidRPr="0045503F" w:rsidRDefault="00965334" w:rsidP="006641A6">
      <w:pPr>
        <w:jc w:val="both"/>
      </w:pPr>
      <w:r w:rsidRPr="0045503F">
        <w:t>In Australia</w:t>
      </w:r>
      <w:r w:rsidR="00AB5269">
        <w:t>,</w:t>
      </w:r>
      <w:r w:rsidRPr="0045503F">
        <w:t xml:space="preserve"> herbicide resistance has increased in </w:t>
      </w:r>
      <w:r w:rsidR="00AB5269">
        <w:t>several</w:t>
      </w:r>
      <w:r w:rsidRPr="0045503F">
        <w:t xml:space="preserve"> major weed species such as annual ryegrass</w:t>
      </w:r>
      <w:r w:rsidR="00836EC7">
        <w:t xml:space="preserve"> and wild radish</w:t>
      </w:r>
      <w:r w:rsidRPr="0045503F">
        <w:t xml:space="preserve">.  </w:t>
      </w:r>
      <w:r w:rsidR="000A7F9B">
        <w:t xml:space="preserve">Single and </w:t>
      </w:r>
      <w:r w:rsidR="00836EC7">
        <w:t>multiple resistance</w:t>
      </w:r>
      <w:r w:rsidR="000A7F9B">
        <w:t>s</w:t>
      </w:r>
      <w:r w:rsidR="00836EC7">
        <w:t xml:space="preserve"> </w:t>
      </w:r>
      <w:r w:rsidRPr="0045503F">
        <w:t>ha</w:t>
      </w:r>
      <w:r w:rsidR="000A7F9B">
        <w:t>ve</w:t>
      </w:r>
      <w:r w:rsidRPr="0045503F">
        <w:t xml:space="preserve"> evolved to </w:t>
      </w:r>
      <w:r w:rsidR="000A7F9B">
        <w:t>several</w:t>
      </w:r>
      <w:r w:rsidR="000A7F9B" w:rsidRPr="0045503F">
        <w:t xml:space="preserve"> </w:t>
      </w:r>
      <w:r w:rsidR="00836EC7">
        <w:t>modes</w:t>
      </w:r>
      <w:r w:rsidR="000A7F9B">
        <w:t>-</w:t>
      </w:r>
      <w:r w:rsidR="00836EC7">
        <w:t>of</w:t>
      </w:r>
      <w:r w:rsidR="000A7F9B">
        <w:t>-</w:t>
      </w:r>
      <w:r w:rsidR="00836EC7">
        <w:t xml:space="preserve">action </w:t>
      </w:r>
      <w:r w:rsidR="000A7F9B">
        <w:t>in</w:t>
      </w:r>
      <w:r w:rsidR="000A7F9B" w:rsidRPr="0045503F">
        <w:t xml:space="preserve"> </w:t>
      </w:r>
      <w:r w:rsidRPr="0045503F">
        <w:t>foli</w:t>
      </w:r>
      <w:r w:rsidR="00836EC7">
        <w:t>ar post-emergent herbicides</w:t>
      </w:r>
      <w:r w:rsidR="000A7F9B">
        <w:t>,</w:t>
      </w:r>
      <w:r w:rsidR="00836EC7">
        <w:t xml:space="preserve"> w</w:t>
      </w:r>
      <w:r w:rsidR="000A7F9B">
        <w:t>hich has compromised</w:t>
      </w:r>
      <w:r w:rsidR="00836EC7">
        <w:t xml:space="preserve"> </w:t>
      </w:r>
      <w:r w:rsidRPr="0045503F">
        <w:t xml:space="preserve">their efficacy. </w:t>
      </w:r>
      <w:r w:rsidR="000A7F9B">
        <w:t>To</w:t>
      </w:r>
      <w:r w:rsidR="00836EC7">
        <w:t xml:space="preserve"> control resistant annual ryegrass, g</w:t>
      </w:r>
      <w:r w:rsidRPr="0045503F">
        <w:t xml:space="preserve">rain growers have </w:t>
      </w:r>
      <w:r w:rsidR="000A7F9B">
        <w:t>combined</w:t>
      </w:r>
      <w:r w:rsidR="00836EC7">
        <w:t xml:space="preserve"> </w:t>
      </w:r>
      <w:r w:rsidRPr="0045503F">
        <w:t>soil-applied pre-emergence herbicides</w:t>
      </w:r>
      <w:r w:rsidR="00836EC7">
        <w:t xml:space="preserve"> </w:t>
      </w:r>
      <w:r w:rsidR="003F2918">
        <w:t xml:space="preserve">with </w:t>
      </w:r>
      <w:r w:rsidR="00836EC7">
        <w:t xml:space="preserve">non-chemical </w:t>
      </w:r>
      <w:r w:rsidR="000A7F9B">
        <w:t xml:space="preserve">weed control </w:t>
      </w:r>
      <w:r w:rsidR="003F2918">
        <w:t xml:space="preserve">tools </w:t>
      </w:r>
      <w:r w:rsidR="000A7F9B">
        <w:t>such as</w:t>
      </w:r>
      <w:r w:rsidR="003F2918">
        <w:t xml:space="preserve"> </w:t>
      </w:r>
      <w:r w:rsidRPr="0045503F">
        <w:t>harvest weed</w:t>
      </w:r>
      <w:r w:rsidR="000A7F9B">
        <w:t>-</w:t>
      </w:r>
      <w:r w:rsidRPr="0045503F">
        <w:t>seed control</w:t>
      </w:r>
      <w:r w:rsidR="003F2918">
        <w:t>.</w:t>
      </w:r>
      <w:r w:rsidRPr="0045503F">
        <w:t xml:space="preserve"> However, new cases of herbicide-resistant weeds continue to be reported, due to the overreliance on herbicides </w:t>
      </w:r>
      <w:r w:rsidR="00206F32">
        <w:t xml:space="preserve">in current farming operations. </w:t>
      </w:r>
      <w:r w:rsidRPr="0045503F">
        <w:t xml:space="preserve"> </w:t>
      </w:r>
      <w:r w:rsidR="003F2918">
        <w:t>For this reason</w:t>
      </w:r>
      <w:r w:rsidR="000A7F9B">
        <w:t>,</w:t>
      </w:r>
      <w:r w:rsidR="003F2918">
        <w:t xml:space="preserve"> in the </w:t>
      </w:r>
      <w:r w:rsidR="000A7F9B">
        <w:t>p</w:t>
      </w:r>
      <w:r w:rsidR="003F2918">
        <w:t xml:space="preserve">ast </w:t>
      </w:r>
      <w:r w:rsidR="000A7F9B">
        <w:t xml:space="preserve">few </w:t>
      </w:r>
      <w:r w:rsidR="003F2918">
        <w:t>decade</w:t>
      </w:r>
      <w:r w:rsidR="000A7F9B">
        <w:t>s,</w:t>
      </w:r>
      <w:r w:rsidR="003F2918">
        <w:t xml:space="preserve"> n</w:t>
      </w:r>
      <w:r w:rsidRPr="0045503F">
        <w:t>ew pre-emergence herbicides have been developed and commerciali</w:t>
      </w:r>
      <w:r w:rsidR="000A7F9B">
        <w:t>s</w:t>
      </w:r>
      <w:r w:rsidRPr="0045503F">
        <w:t>ed in Australia but cases of field resistance</w:t>
      </w:r>
      <w:r w:rsidR="000A7F9B">
        <w:t xml:space="preserve"> even to these new herbicides</w:t>
      </w:r>
      <w:r w:rsidRPr="0045503F">
        <w:t xml:space="preserve"> have recently been reported. </w:t>
      </w:r>
      <w:r w:rsidR="00206F32">
        <w:t>Herbicide mixtures have been shown to decrease the risk of resistance evolution</w:t>
      </w:r>
      <w:r w:rsidR="000A7F9B">
        <w:t>,</w:t>
      </w:r>
      <w:r w:rsidR="00206F32">
        <w:t xml:space="preserve"> but they have rarely </w:t>
      </w:r>
      <w:r w:rsidR="000A7F9B">
        <w:t xml:space="preserve">been </w:t>
      </w:r>
      <w:r w:rsidR="00206F32">
        <w:t xml:space="preserve">tested </w:t>
      </w:r>
      <w:r w:rsidR="00C3312A">
        <w:t xml:space="preserve">on </w:t>
      </w:r>
      <w:r w:rsidR="00206F32">
        <w:t xml:space="preserve">weed seed samples collected from </w:t>
      </w:r>
      <w:r w:rsidR="003F2918">
        <w:t>problematic</w:t>
      </w:r>
      <w:r w:rsidR="00206F32">
        <w:t xml:space="preserve"> paddocks or </w:t>
      </w:r>
      <w:r w:rsidR="003F2918">
        <w:t xml:space="preserve">in </w:t>
      </w:r>
      <w:r w:rsidR="00206F32">
        <w:t>geographical surveys.</w:t>
      </w:r>
    </w:p>
    <w:p w14:paraId="75DE2DFE" w14:textId="77777777" w:rsidR="00691986" w:rsidRPr="008F2638" w:rsidRDefault="00691986" w:rsidP="006641A6">
      <w:pPr>
        <w:pStyle w:val="Heading2"/>
      </w:pPr>
      <w:r>
        <w:t>Aims</w:t>
      </w:r>
    </w:p>
    <w:p w14:paraId="67976D72" w14:textId="77777777" w:rsidR="00965334" w:rsidRPr="0045503F" w:rsidRDefault="000A7F9B" w:rsidP="006641A6">
      <w:pPr>
        <w:jc w:val="both"/>
      </w:pPr>
      <w:r>
        <w:t>New</w:t>
      </w:r>
      <w:r w:rsidR="003F2918">
        <w:t xml:space="preserve"> </w:t>
      </w:r>
      <w:r w:rsidR="00447235" w:rsidRPr="0045503F">
        <w:t xml:space="preserve">herbicides to control annual ryegrass and wild radish </w:t>
      </w:r>
      <w:r w:rsidR="003F2918">
        <w:t>will be available from 2020. This study</w:t>
      </w:r>
      <w:r w:rsidR="00447235" w:rsidRPr="0045503F">
        <w:t xml:space="preserve"> </w:t>
      </w:r>
      <w:r>
        <w:t>reports on</w:t>
      </w:r>
      <w:r w:rsidR="00447235" w:rsidRPr="0045503F">
        <w:t xml:space="preserve"> the </w:t>
      </w:r>
      <w:r>
        <w:t xml:space="preserve">latest </w:t>
      </w:r>
      <w:r w:rsidR="00447235" w:rsidRPr="0045503F">
        <w:t xml:space="preserve">knowledge of herbicide resistance </w:t>
      </w:r>
      <w:r w:rsidR="00666B37">
        <w:t xml:space="preserve">in </w:t>
      </w:r>
      <w:r w:rsidR="00447235" w:rsidRPr="0045503F">
        <w:t xml:space="preserve">the two most damaging weeds infesting </w:t>
      </w:r>
      <w:r w:rsidR="00666B37">
        <w:t xml:space="preserve">the </w:t>
      </w:r>
      <w:r w:rsidR="00447235" w:rsidRPr="0045503F">
        <w:t xml:space="preserve">Western Australian </w:t>
      </w:r>
      <w:r w:rsidR="00666B37">
        <w:t>wheatbelt</w:t>
      </w:r>
      <w:r w:rsidR="00C3312A">
        <w:t xml:space="preserve"> -</w:t>
      </w:r>
      <w:r w:rsidR="00691986" w:rsidRPr="0045503F">
        <w:t xml:space="preserve"> annual ryegrass and wild radish</w:t>
      </w:r>
      <w:r w:rsidR="00447235" w:rsidRPr="0045503F">
        <w:t>.</w:t>
      </w:r>
      <w:r w:rsidR="00691986" w:rsidRPr="0045503F">
        <w:t xml:space="preserve"> We aim to reinforce the benefits of proactively testing for herbicide resistance in major weed species with special emphasis on </w:t>
      </w:r>
      <w:r w:rsidR="00666B37">
        <w:t xml:space="preserve">the adoption of </w:t>
      </w:r>
      <w:r w:rsidR="00691986" w:rsidRPr="0045503F">
        <w:t xml:space="preserve">herbicide mixtures to mitigate the </w:t>
      </w:r>
      <w:r w:rsidR="003F2918">
        <w:t xml:space="preserve">spread of </w:t>
      </w:r>
      <w:r w:rsidR="00691986" w:rsidRPr="0045503F">
        <w:t xml:space="preserve">herbicide resistance </w:t>
      </w:r>
      <w:r w:rsidR="003F2918">
        <w:t xml:space="preserve">and </w:t>
      </w:r>
      <w:r w:rsidR="00C3312A">
        <w:t xml:space="preserve">its </w:t>
      </w:r>
      <w:r w:rsidR="003F2918">
        <w:t xml:space="preserve">subsequent impact </w:t>
      </w:r>
      <w:r w:rsidR="00691986" w:rsidRPr="0045503F">
        <w:t xml:space="preserve">on farm profitability. In 2018-2020 we screened </w:t>
      </w:r>
      <w:r w:rsidR="00C3312A">
        <w:t>about</w:t>
      </w:r>
      <w:r w:rsidR="00C3312A" w:rsidRPr="0045503F">
        <w:t xml:space="preserve"> </w:t>
      </w:r>
      <w:r w:rsidR="00691986" w:rsidRPr="0045503F">
        <w:t xml:space="preserve">140 annual ryegrass and 100 wild radish </w:t>
      </w:r>
      <w:r w:rsidR="003F2918">
        <w:t xml:space="preserve">populations </w:t>
      </w:r>
      <w:r w:rsidR="00691986" w:rsidRPr="0045503F">
        <w:t xml:space="preserve">submitted to </w:t>
      </w:r>
      <w:r w:rsidR="00C3312A">
        <w:t>T</w:t>
      </w:r>
      <w:r w:rsidR="003F2918">
        <w:t xml:space="preserve">he University of Western Australia for comprehensive </w:t>
      </w:r>
      <w:r w:rsidR="00965334" w:rsidRPr="0045503F">
        <w:t>herbicide resistance testing</w:t>
      </w:r>
      <w:r w:rsidR="00206F32">
        <w:t xml:space="preserve">. We report and </w:t>
      </w:r>
      <w:r w:rsidR="00691986" w:rsidRPr="0045503F">
        <w:t xml:space="preserve">discuss the </w:t>
      </w:r>
      <w:r w:rsidR="00206F32">
        <w:t xml:space="preserve">observed efficacy of </w:t>
      </w:r>
      <w:r w:rsidR="00691986" w:rsidRPr="0045503F">
        <w:t xml:space="preserve">weed control, the </w:t>
      </w:r>
      <w:r w:rsidR="00206F32">
        <w:t xml:space="preserve">frequency of </w:t>
      </w:r>
      <w:r w:rsidR="00691986" w:rsidRPr="0045503F">
        <w:t xml:space="preserve">resistance </w:t>
      </w:r>
      <w:r w:rsidR="00206F32">
        <w:t>to old and new herbicides</w:t>
      </w:r>
      <w:r w:rsidR="00691986" w:rsidRPr="0045503F">
        <w:t xml:space="preserve"> and the future of herbicide resistance </w:t>
      </w:r>
      <w:r w:rsidR="00206F32">
        <w:t xml:space="preserve">with </w:t>
      </w:r>
      <w:r w:rsidR="003F2918">
        <w:t xml:space="preserve">a special </w:t>
      </w:r>
      <w:r w:rsidR="00206F32">
        <w:t xml:space="preserve">focus on herbicide mixtures.  </w:t>
      </w:r>
    </w:p>
    <w:p w14:paraId="374E9824" w14:textId="77777777" w:rsidR="00965334" w:rsidRPr="00691986" w:rsidRDefault="00965334" w:rsidP="006641A6">
      <w:pPr>
        <w:pStyle w:val="Heading2"/>
      </w:pPr>
      <w:r w:rsidRPr="00691986">
        <w:t>Methods</w:t>
      </w:r>
    </w:p>
    <w:p w14:paraId="5D2F5BDE" w14:textId="77777777" w:rsidR="00965334" w:rsidRPr="007C2BB9" w:rsidRDefault="00965334" w:rsidP="006641A6">
      <w:pPr>
        <w:pStyle w:val="Heading3"/>
        <w:rPr>
          <w:rFonts w:asciiTheme="minorHAnsi" w:hAnsiTheme="minorHAnsi" w:cstheme="minorHAnsi"/>
          <w:b/>
          <w:i w:val="0"/>
        </w:rPr>
      </w:pPr>
      <w:r w:rsidRPr="00093B53">
        <w:t xml:space="preserve">Weed seed sample collection </w:t>
      </w:r>
    </w:p>
    <w:p w14:paraId="7CE435BA" w14:textId="77777777" w:rsidR="001259FA" w:rsidRPr="0045503F" w:rsidRDefault="00965334" w:rsidP="006641A6">
      <w:pPr>
        <w:jc w:val="both"/>
      </w:pPr>
      <w:r w:rsidRPr="0045503F">
        <w:t xml:space="preserve">Seed samples of annual ryegrass </w:t>
      </w:r>
      <w:r w:rsidR="001259FA" w:rsidRPr="0045503F">
        <w:t xml:space="preserve">and wild radish </w:t>
      </w:r>
      <w:r w:rsidRPr="0045503F">
        <w:t xml:space="preserve">were collected from </w:t>
      </w:r>
      <w:r w:rsidR="001259FA" w:rsidRPr="0045503F">
        <w:t xml:space="preserve">cropped paddocks </w:t>
      </w:r>
      <w:r w:rsidRPr="0045503F">
        <w:t xml:space="preserve">at different locations in </w:t>
      </w:r>
      <w:r w:rsidR="00C3312A">
        <w:t xml:space="preserve">the </w:t>
      </w:r>
      <w:r w:rsidRPr="0045503F">
        <w:t>W</w:t>
      </w:r>
      <w:r w:rsidR="00C3312A">
        <w:t xml:space="preserve">A wheatbelt both before sowing and at harvest in </w:t>
      </w:r>
      <w:r w:rsidR="001259FA" w:rsidRPr="0045503F">
        <w:t>2018 and</w:t>
      </w:r>
      <w:r w:rsidR="00C3312A">
        <w:t xml:space="preserve"> at harvest</w:t>
      </w:r>
      <w:r w:rsidR="001259FA" w:rsidRPr="0045503F">
        <w:t xml:space="preserve"> </w:t>
      </w:r>
      <w:r w:rsidR="003A10BD">
        <w:t xml:space="preserve">in </w:t>
      </w:r>
      <w:r w:rsidR="001259FA" w:rsidRPr="0045503F">
        <w:t>2019</w:t>
      </w:r>
      <w:r w:rsidRPr="0045503F">
        <w:t>.</w:t>
      </w:r>
      <w:r w:rsidR="001259FA" w:rsidRPr="0045503F">
        <w:t xml:space="preserve"> </w:t>
      </w:r>
      <w:r w:rsidRPr="0045503F">
        <w:t>Within each farm</w:t>
      </w:r>
      <w:r w:rsidR="00C3312A">
        <w:t>,</w:t>
      </w:r>
      <w:r w:rsidRPr="0045503F">
        <w:t xml:space="preserve"> samples were collected from paddocks chosen according to the </w:t>
      </w:r>
      <w:r w:rsidR="00C3312A" w:rsidRPr="0045503F">
        <w:t xml:space="preserve">resistance perceptions </w:t>
      </w:r>
      <w:r w:rsidR="00C3312A">
        <w:t xml:space="preserve">of the </w:t>
      </w:r>
      <w:r w:rsidRPr="0045503F">
        <w:t>grower</w:t>
      </w:r>
      <w:r w:rsidR="00C3312A">
        <w:t xml:space="preserve"> and/or their </w:t>
      </w:r>
      <w:r w:rsidRPr="0045503F">
        <w:t>consultant</w:t>
      </w:r>
      <w:r w:rsidR="001259FA" w:rsidRPr="0045503F">
        <w:t xml:space="preserve">. </w:t>
      </w:r>
      <w:r w:rsidRPr="0045503F">
        <w:t xml:space="preserve">Weed seed was bulked to obtain one population per sampled paddock at the time of collection. Seeds were stored in dry conditions and prepared for herbicide testing. Herbicides were applied at the correct </w:t>
      </w:r>
      <w:r w:rsidR="00C3312A">
        <w:t>time</w:t>
      </w:r>
      <w:r w:rsidR="00C3312A" w:rsidRPr="0045503F">
        <w:t xml:space="preserve"> </w:t>
      </w:r>
      <w:r w:rsidR="00C3312A">
        <w:t xml:space="preserve">either </w:t>
      </w:r>
      <w:r w:rsidRPr="0045503F">
        <w:t>to</w:t>
      </w:r>
      <w:r w:rsidR="00C3312A">
        <w:t xml:space="preserve"> </w:t>
      </w:r>
      <w:r w:rsidRPr="0045503F">
        <w:t>the soil (</w:t>
      </w:r>
      <w:r w:rsidR="001259FA" w:rsidRPr="0045503F">
        <w:t xml:space="preserve">PRE, </w:t>
      </w:r>
      <w:r w:rsidRPr="0045503F">
        <w:t xml:space="preserve">pre-emergence herbicides) or </w:t>
      </w:r>
      <w:r w:rsidR="00C3312A">
        <w:t xml:space="preserve">to </w:t>
      </w:r>
      <w:r w:rsidR="00C3312A" w:rsidRPr="0045503F">
        <w:t>seedlings</w:t>
      </w:r>
      <w:r w:rsidR="00C3312A">
        <w:t xml:space="preserve"> at the</w:t>
      </w:r>
      <w:r w:rsidR="00C3312A" w:rsidRPr="0045503F">
        <w:t xml:space="preserve"> </w:t>
      </w:r>
      <w:r w:rsidRPr="0045503F">
        <w:t xml:space="preserve">two-leaf </w:t>
      </w:r>
      <w:r w:rsidR="00C3312A">
        <w:t xml:space="preserve">stage </w:t>
      </w:r>
      <w:r w:rsidR="001259FA" w:rsidRPr="0045503F">
        <w:t xml:space="preserve">(POST, post-emergence herbicides) </w:t>
      </w:r>
      <w:r w:rsidRPr="0045503F">
        <w:t xml:space="preserve">at dosages indicated in Table 1. Plant survival was assessed </w:t>
      </w:r>
      <w:r w:rsidR="00346968">
        <w:t xml:space="preserve">3-4 weeks </w:t>
      </w:r>
      <w:r w:rsidRPr="0045503F">
        <w:t xml:space="preserve">after </w:t>
      </w:r>
      <w:r w:rsidR="00346968">
        <w:t xml:space="preserve">herbicide </w:t>
      </w:r>
      <w:r w:rsidRPr="0045503F">
        <w:t xml:space="preserve">treatment.  </w:t>
      </w:r>
    </w:p>
    <w:p w14:paraId="59EE17DB" w14:textId="77777777" w:rsidR="00965334" w:rsidRPr="0071779A" w:rsidRDefault="00C3312A" w:rsidP="006641A6">
      <w:pPr>
        <w:jc w:val="both"/>
      </w:pPr>
      <w:r>
        <w:t>About</w:t>
      </w:r>
      <w:r w:rsidRPr="0045503F">
        <w:t xml:space="preserve"> </w:t>
      </w:r>
      <w:r w:rsidR="001259FA" w:rsidRPr="0045503F">
        <w:t>140 annual ryegrass populations and 100 wild radish populations</w:t>
      </w:r>
      <w:r w:rsidR="00666B37">
        <w:t xml:space="preserve"> </w:t>
      </w:r>
      <w:r>
        <w:t xml:space="preserve">were treated </w:t>
      </w:r>
      <w:r w:rsidR="00666B37">
        <w:t xml:space="preserve">with </w:t>
      </w:r>
      <w:r w:rsidR="00233CB5">
        <w:t xml:space="preserve">individual </w:t>
      </w:r>
      <w:r w:rsidR="00666B37">
        <w:t xml:space="preserve">herbicides </w:t>
      </w:r>
      <w:r w:rsidR="00233CB5">
        <w:t xml:space="preserve">or </w:t>
      </w:r>
      <w:r w:rsidR="00666B37">
        <w:t xml:space="preserve">herbicide mixtures </w:t>
      </w:r>
      <w:r>
        <w:t xml:space="preserve">either </w:t>
      </w:r>
      <w:r w:rsidR="00666B37">
        <w:t xml:space="preserve">pre- </w:t>
      </w:r>
      <w:r w:rsidR="00233CB5">
        <w:t xml:space="preserve">or </w:t>
      </w:r>
      <w:r w:rsidR="00666B37">
        <w:t xml:space="preserve">post-emergence </w:t>
      </w:r>
      <w:r w:rsidR="00A77B5D">
        <w:t>during 2018–20</w:t>
      </w:r>
      <w:r w:rsidR="00233CB5">
        <w:t xml:space="preserve"> </w:t>
      </w:r>
      <w:r w:rsidR="00666B37">
        <w:t>(Table 1)</w:t>
      </w:r>
      <w:r w:rsidR="001259FA" w:rsidRPr="0045503F">
        <w:t xml:space="preserve">. Mean values of plant survival </w:t>
      </w:r>
      <w:r w:rsidR="00666B37">
        <w:t xml:space="preserve">and </w:t>
      </w:r>
      <w:r w:rsidR="001259FA" w:rsidRPr="0045503F">
        <w:t xml:space="preserve">resistance frequency are </w:t>
      </w:r>
      <w:r w:rsidR="00814359">
        <w:t xml:space="preserve">either </w:t>
      </w:r>
      <w:r w:rsidR="001259FA" w:rsidRPr="0045503F">
        <w:t xml:space="preserve">presented </w:t>
      </w:r>
      <w:r w:rsidR="00814359">
        <w:t>below</w:t>
      </w:r>
      <w:r w:rsidR="00346968">
        <w:t xml:space="preserve"> or will be </w:t>
      </w:r>
      <w:r w:rsidR="00346968" w:rsidRPr="0071779A">
        <w:t>presented orally at the Grain Research Updates</w:t>
      </w:r>
      <w:r w:rsidR="001259FA" w:rsidRPr="0071779A">
        <w:t xml:space="preserve">.  </w:t>
      </w:r>
    </w:p>
    <w:p w14:paraId="1E160CFE" w14:textId="77777777" w:rsidR="00965334" w:rsidRPr="0071779A" w:rsidRDefault="00965334" w:rsidP="006641A6">
      <w:pPr>
        <w:pStyle w:val="Heading3"/>
      </w:pPr>
      <w:r w:rsidRPr="0071779A">
        <w:t>Data analyses</w:t>
      </w:r>
    </w:p>
    <w:p w14:paraId="4EFD3D58" w14:textId="77777777" w:rsidR="00965334" w:rsidRPr="0071779A" w:rsidRDefault="00965334" w:rsidP="006641A6">
      <w:pPr>
        <w:jc w:val="both"/>
      </w:pPr>
      <w:r w:rsidRPr="0071779A">
        <w:t xml:space="preserve">Populations were classified as susceptible </w:t>
      </w:r>
      <w:r w:rsidR="0095020E" w:rsidRPr="0071779A">
        <w:t xml:space="preserve">if </w:t>
      </w:r>
      <w:r w:rsidRPr="0071779A">
        <w:t xml:space="preserve">zero to 5% </w:t>
      </w:r>
      <w:r w:rsidR="0095020E" w:rsidRPr="0071779A">
        <w:t xml:space="preserve">of </w:t>
      </w:r>
      <w:r w:rsidRPr="0071779A">
        <w:t>plant</w:t>
      </w:r>
      <w:r w:rsidR="0095020E" w:rsidRPr="0071779A">
        <w:t>s</w:t>
      </w:r>
      <w:r w:rsidRPr="0071779A">
        <w:t xml:space="preserve"> </w:t>
      </w:r>
      <w:r w:rsidR="0095020E" w:rsidRPr="0071779A">
        <w:t xml:space="preserve">survived </w:t>
      </w:r>
      <w:r w:rsidR="00346968" w:rsidRPr="0071779A">
        <w:t>the recommended dose on the label</w:t>
      </w:r>
      <w:r w:rsidRPr="0071779A">
        <w:t xml:space="preserve">. Populations with resistant survivors were classified into two groups: those with ≥20% plant survival and those having &lt;20% survival (this includes all plant survival between </w:t>
      </w:r>
      <w:r w:rsidRPr="0071779A">
        <w:lastRenderedPageBreak/>
        <w:t>6</w:t>
      </w:r>
      <w:r w:rsidR="0095020E" w:rsidRPr="0071779A">
        <w:t>–</w:t>
      </w:r>
      <w:r w:rsidRPr="0071779A">
        <w:t xml:space="preserve">19%). ANOVA was </w:t>
      </w:r>
      <w:r w:rsidR="0095020E" w:rsidRPr="0071779A">
        <w:t xml:space="preserve">done </w:t>
      </w:r>
      <w:r w:rsidRPr="0071779A">
        <w:t xml:space="preserve">on plant survival data expressed as </w:t>
      </w:r>
      <w:r w:rsidR="0095020E" w:rsidRPr="0071779A">
        <w:t xml:space="preserve">a </w:t>
      </w:r>
      <w:r w:rsidRPr="0071779A">
        <w:t xml:space="preserve">percentage and means were separated with Tukey’s test. </w:t>
      </w:r>
      <w:r w:rsidR="004C2C4B" w:rsidRPr="0071779A">
        <w:t>Resistance frequencies were analysed by chi-square analysis</w:t>
      </w:r>
      <w:r w:rsidR="006641A6" w:rsidRPr="0071779A">
        <w:t>.</w:t>
      </w:r>
    </w:p>
    <w:p w14:paraId="64274756" w14:textId="77777777" w:rsidR="00965334" w:rsidRPr="0071779A" w:rsidRDefault="00965334" w:rsidP="006641A6">
      <w:pPr>
        <w:spacing w:after="0" w:line="360" w:lineRule="auto"/>
        <w:rPr>
          <w:rFonts w:asciiTheme="minorHAnsi" w:hAnsiTheme="minorHAnsi" w:cstheme="minorHAnsi"/>
        </w:rPr>
      </w:pPr>
    </w:p>
    <w:p w14:paraId="51E89D6F" w14:textId="77777777" w:rsidR="00447235" w:rsidRPr="0045503F" w:rsidRDefault="00447235" w:rsidP="006641A6">
      <w:pPr>
        <w:jc w:val="both"/>
      </w:pPr>
      <w:r w:rsidRPr="0071779A">
        <w:rPr>
          <w:b/>
        </w:rPr>
        <w:t>Table 1</w:t>
      </w:r>
      <w:r w:rsidRPr="0071779A">
        <w:t xml:space="preserve">. Herbicide products, formulations, </w:t>
      </w:r>
      <w:r w:rsidR="006641A6" w:rsidRPr="0071779A">
        <w:t>Herbicide Resistance Action Committee (</w:t>
      </w:r>
      <w:r w:rsidRPr="0071779A">
        <w:t>HRAC</w:t>
      </w:r>
      <w:r w:rsidR="006641A6" w:rsidRPr="0071779A">
        <w:t>)</w:t>
      </w:r>
      <w:r w:rsidRPr="0071779A">
        <w:t xml:space="preserve"> classification, use (PRE, POST or mixtures) and dosages used to assess plant survival (%) in populations of annual ryegrass and wild radish collected in Western Australia in 2018-2019 from cropped paddocks.</w:t>
      </w:r>
      <w:r w:rsidRPr="0045503F">
        <w:t xml:space="preserve"> </w:t>
      </w:r>
    </w:p>
    <w:tbl>
      <w:tblPr>
        <w:tblW w:w="11056" w:type="dxa"/>
        <w:jc w:val="center"/>
        <w:tblLayout w:type="fixed"/>
        <w:tblLook w:val="0000" w:firstRow="0" w:lastRow="0" w:firstColumn="0" w:lastColumn="0" w:noHBand="0" w:noVBand="0"/>
      </w:tblPr>
      <w:tblGrid>
        <w:gridCol w:w="4395"/>
        <w:gridCol w:w="1134"/>
        <w:gridCol w:w="2268"/>
        <w:gridCol w:w="1842"/>
        <w:gridCol w:w="1417"/>
      </w:tblGrid>
      <w:tr w:rsidR="00447235" w:rsidRPr="007C2BB9" w14:paraId="2871F892" w14:textId="77777777" w:rsidTr="00E73A21">
        <w:trPr>
          <w:trHeight w:val="190"/>
          <w:jc w:val="center"/>
        </w:trPr>
        <w:tc>
          <w:tcPr>
            <w:tcW w:w="4395" w:type="dxa"/>
            <w:tcBorders>
              <w:top w:val="single" w:sz="4" w:space="0" w:color="auto"/>
              <w:bottom w:val="single" w:sz="4" w:space="0" w:color="auto"/>
            </w:tcBorders>
          </w:tcPr>
          <w:p w14:paraId="63EC9A71" w14:textId="77777777" w:rsidR="00447235" w:rsidRPr="00EE23EC" w:rsidRDefault="00447235" w:rsidP="006641A6">
            <w:pPr>
              <w:spacing w:after="0"/>
              <w:jc w:val="both"/>
              <w:rPr>
                <w:b/>
              </w:rPr>
            </w:pPr>
            <w:r w:rsidRPr="00EE23EC">
              <w:rPr>
                <w:b/>
              </w:rPr>
              <w:t>Herbicide</w:t>
            </w:r>
          </w:p>
          <w:p w14:paraId="06EDC934" w14:textId="77777777" w:rsidR="00447235" w:rsidRPr="00EE23EC" w:rsidRDefault="00447235" w:rsidP="006641A6">
            <w:pPr>
              <w:spacing w:after="0"/>
              <w:jc w:val="both"/>
              <w:rPr>
                <w:b/>
              </w:rPr>
            </w:pPr>
            <w:r w:rsidRPr="00EE23EC">
              <w:rPr>
                <w:b/>
              </w:rPr>
              <w:t>(formulation)</w:t>
            </w:r>
          </w:p>
        </w:tc>
        <w:tc>
          <w:tcPr>
            <w:tcW w:w="1134" w:type="dxa"/>
            <w:tcBorders>
              <w:top w:val="single" w:sz="4" w:space="0" w:color="auto"/>
              <w:bottom w:val="single" w:sz="4" w:space="0" w:color="auto"/>
            </w:tcBorders>
          </w:tcPr>
          <w:p w14:paraId="6B4C95CC" w14:textId="77777777" w:rsidR="00447235" w:rsidRPr="00EE23EC" w:rsidRDefault="00447235" w:rsidP="006641A6">
            <w:pPr>
              <w:spacing w:after="0"/>
              <w:jc w:val="both"/>
              <w:rPr>
                <w:b/>
              </w:rPr>
            </w:pPr>
            <w:r w:rsidRPr="00EE23EC">
              <w:rPr>
                <w:b/>
              </w:rPr>
              <w:t>HRAC</w:t>
            </w:r>
          </w:p>
          <w:p w14:paraId="741B9F01" w14:textId="77777777" w:rsidR="00447235" w:rsidRPr="00EE23EC" w:rsidRDefault="00447235" w:rsidP="006641A6">
            <w:pPr>
              <w:spacing w:after="0"/>
              <w:jc w:val="both"/>
              <w:rPr>
                <w:b/>
              </w:rPr>
            </w:pPr>
            <w:r w:rsidRPr="00EE23EC">
              <w:rPr>
                <w:b/>
              </w:rPr>
              <w:t>Group</w:t>
            </w:r>
          </w:p>
        </w:tc>
        <w:tc>
          <w:tcPr>
            <w:tcW w:w="2268" w:type="dxa"/>
            <w:tcBorders>
              <w:top w:val="single" w:sz="4" w:space="0" w:color="auto"/>
              <w:bottom w:val="single" w:sz="4" w:space="0" w:color="auto"/>
            </w:tcBorders>
          </w:tcPr>
          <w:p w14:paraId="62AFD8C8" w14:textId="77777777" w:rsidR="00447235" w:rsidRPr="00EE23EC" w:rsidRDefault="00447235" w:rsidP="006641A6">
            <w:pPr>
              <w:spacing w:after="0"/>
              <w:jc w:val="both"/>
              <w:rPr>
                <w:b/>
              </w:rPr>
            </w:pPr>
            <w:r w:rsidRPr="00EE23EC">
              <w:rPr>
                <w:b/>
              </w:rPr>
              <w:t>Use</w:t>
            </w:r>
          </w:p>
        </w:tc>
        <w:tc>
          <w:tcPr>
            <w:tcW w:w="1842" w:type="dxa"/>
            <w:tcBorders>
              <w:top w:val="single" w:sz="4" w:space="0" w:color="auto"/>
              <w:bottom w:val="single" w:sz="4" w:space="0" w:color="auto"/>
            </w:tcBorders>
          </w:tcPr>
          <w:p w14:paraId="0F1C4E65" w14:textId="77777777" w:rsidR="00E73A21" w:rsidRDefault="0045503F" w:rsidP="006641A6">
            <w:pPr>
              <w:spacing w:after="0"/>
              <w:ind w:right="316"/>
              <w:jc w:val="both"/>
              <w:rPr>
                <w:b/>
              </w:rPr>
            </w:pPr>
            <w:r w:rsidRPr="00EE23EC">
              <w:rPr>
                <w:b/>
              </w:rPr>
              <w:t xml:space="preserve">Dose </w:t>
            </w:r>
            <w:proofErr w:type="spellStart"/>
            <w:r w:rsidR="00E73A21">
              <w:rPr>
                <w:b/>
              </w:rPr>
              <w:t>a.i.</w:t>
            </w:r>
            <w:proofErr w:type="spellEnd"/>
          </w:p>
          <w:p w14:paraId="4BF83515" w14:textId="77777777" w:rsidR="00447235" w:rsidRPr="00EE23EC" w:rsidRDefault="00447235" w:rsidP="006641A6">
            <w:pPr>
              <w:spacing w:after="0"/>
              <w:ind w:right="316"/>
              <w:jc w:val="both"/>
              <w:rPr>
                <w:b/>
              </w:rPr>
            </w:pPr>
            <w:r w:rsidRPr="00EE23EC">
              <w:rPr>
                <w:b/>
              </w:rPr>
              <w:t>(g/ha)</w:t>
            </w:r>
          </w:p>
        </w:tc>
        <w:tc>
          <w:tcPr>
            <w:tcW w:w="1417" w:type="dxa"/>
            <w:tcBorders>
              <w:top w:val="single" w:sz="4" w:space="0" w:color="auto"/>
              <w:bottom w:val="single" w:sz="4" w:space="0" w:color="auto"/>
            </w:tcBorders>
          </w:tcPr>
          <w:p w14:paraId="0C194FE8" w14:textId="77777777" w:rsidR="00447235" w:rsidRPr="00EE23EC" w:rsidRDefault="00447235" w:rsidP="006641A6">
            <w:pPr>
              <w:spacing w:after="0"/>
              <w:jc w:val="both"/>
              <w:rPr>
                <w:b/>
              </w:rPr>
            </w:pPr>
            <w:r w:rsidRPr="00EE23EC">
              <w:rPr>
                <w:b/>
              </w:rPr>
              <w:t>Survival %</w:t>
            </w:r>
          </w:p>
          <w:p w14:paraId="421B32A0" w14:textId="77777777" w:rsidR="00447235" w:rsidRPr="00EE23EC" w:rsidRDefault="00447235" w:rsidP="006641A6">
            <w:pPr>
              <w:spacing w:after="0"/>
              <w:jc w:val="both"/>
              <w:rPr>
                <w:b/>
              </w:rPr>
            </w:pPr>
            <w:r w:rsidRPr="00EE23EC">
              <w:rPr>
                <w:b/>
              </w:rPr>
              <w:t>(SE)</w:t>
            </w:r>
          </w:p>
        </w:tc>
      </w:tr>
      <w:tr w:rsidR="00447235" w:rsidRPr="007C2BB9" w14:paraId="0A4F86AF" w14:textId="77777777" w:rsidTr="00B93F44">
        <w:trPr>
          <w:trHeight w:val="190"/>
          <w:jc w:val="center"/>
        </w:trPr>
        <w:tc>
          <w:tcPr>
            <w:tcW w:w="11056" w:type="dxa"/>
            <w:gridSpan w:val="5"/>
          </w:tcPr>
          <w:p w14:paraId="3759C7B7" w14:textId="77777777" w:rsidR="00447235" w:rsidRPr="0045503F" w:rsidRDefault="00447235" w:rsidP="006641A6">
            <w:pPr>
              <w:spacing w:after="0"/>
              <w:jc w:val="center"/>
              <w:rPr>
                <w:b/>
              </w:rPr>
            </w:pPr>
            <w:r w:rsidRPr="0045503F">
              <w:rPr>
                <w:b/>
              </w:rPr>
              <w:t>Annual ryegrass</w:t>
            </w:r>
          </w:p>
        </w:tc>
      </w:tr>
      <w:tr w:rsidR="00447235" w:rsidRPr="007C2BB9" w14:paraId="65C52330" w14:textId="77777777" w:rsidTr="00E73A21">
        <w:trPr>
          <w:trHeight w:val="190"/>
          <w:jc w:val="center"/>
        </w:trPr>
        <w:tc>
          <w:tcPr>
            <w:tcW w:w="4395" w:type="dxa"/>
          </w:tcPr>
          <w:p w14:paraId="27EE9AD4" w14:textId="77777777" w:rsidR="00447235" w:rsidRPr="0045503F" w:rsidRDefault="00447235" w:rsidP="006641A6">
            <w:pPr>
              <w:spacing w:after="0"/>
              <w:jc w:val="both"/>
            </w:pPr>
            <w:proofErr w:type="spellStart"/>
            <w:r w:rsidRPr="0045503F">
              <w:t>Diclofop</w:t>
            </w:r>
            <w:proofErr w:type="spellEnd"/>
            <w:r w:rsidRPr="0045503F">
              <w:t>-methyl (500g/L)</w:t>
            </w:r>
          </w:p>
        </w:tc>
        <w:tc>
          <w:tcPr>
            <w:tcW w:w="1134" w:type="dxa"/>
          </w:tcPr>
          <w:p w14:paraId="07B673C9" w14:textId="77777777" w:rsidR="00447235" w:rsidRPr="0045503F" w:rsidRDefault="00447235" w:rsidP="006641A6">
            <w:pPr>
              <w:spacing w:after="0"/>
              <w:jc w:val="both"/>
            </w:pPr>
            <w:r w:rsidRPr="0045503F">
              <w:t>A</w:t>
            </w:r>
          </w:p>
        </w:tc>
        <w:tc>
          <w:tcPr>
            <w:tcW w:w="2268" w:type="dxa"/>
          </w:tcPr>
          <w:p w14:paraId="7D84A568" w14:textId="77777777" w:rsidR="00447235" w:rsidRPr="0045503F" w:rsidRDefault="00447235" w:rsidP="006641A6">
            <w:pPr>
              <w:spacing w:after="0"/>
              <w:jc w:val="both"/>
            </w:pPr>
            <w:r w:rsidRPr="0045503F">
              <w:t>POST</w:t>
            </w:r>
          </w:p>
        </w:tc>
        <w:tc>
          <w:tcPr>
            <w:tcW w:w="1842" w:type="dxa"/>
          </w:tcPr>
          <w:p w14:paraId="64CA7A3E" w14:textId="77777777" w:rsidR="00447235" w:rsidRPr="0045503F" w:rsidRDefault="00447235" w:rsidP="006641A6">
            <w:pPr>
              <w:spacing w:after="0"/>
              <w:jc w:val="both"/>
            </w:pPr>
            <w:r w:rsidRPr="0045503F">
              <w:t>375</w:t>
            </w:r>
          </w:p>
        </w:tc>
        <w:tc>
          <w:tcPr>
            <w:tcW w:w="1417" w:type="dxa"/>
          </w:tcPr>
          <w:p w14:paraId="46C09947" w14:textId="77777777" w:rsidR="00447235" w:rsidRPr="0045503F" w:rsidRDefault="00447235" w:rsidP="006641A6">
            <w:pPr>
              <w:spacing w:after="0"/>
              <w:jc w:val="both"/>
            </w:pPr>
            <w:r w:rsidRPr="0045503F">
              <w:t>39</w:t>
            </w:r>
            <w:r w:rsidR="0095020E">
              <w:t xml:space="preserve"> </w:t>
            </w:r>
            <w:r w:rsidRPr="0045503F">
              <w:t>(2)</w:t>
            </w:r>
          </w:p>
        </w:tc>
      </w:tr>
      <w:tr w:rsidR="00447235" w:rsidRPr="007C2BB9" w14:paraId="308FC618" w14:textId="77777777" w:rsidTr="00E73A21">
        <w:trPr>
          <w:trHeight w:val="190"/>
          <w:jc w:val="center"/>
        </w:trPr>
        <w:tc>
          <w:tcPr>
            <w:tcW w:w="4395" w:type="dxa"/>
          </w:tcPr>
          <w:p w14:paraId="56E3E5F1" w14:textId="77777777" w:rsidR="00447235" w:rsidRPr="0045503F" w:rsidRDefault="00447235" w:rsidP="006641A6">
            <w:pPr>
              <w:spacing w:after="0"/>
              <w:jc w:val="both"/>
            </w:pPr>
            <w:proofErr w:type="spellStart"/>
            <w:r w:rsidRPr="0045503F">
              <w:t>Butroxydim</w:t>
            </w:r>
            <w:proofErr w:type="spellEnd"/>
            <w:r w:rsidRPr="0045503F">
              <w:t xml:space="preserve"> (250g/kg)</w:t>
            </w:r>
          </w:p>
        </w:tc>
        <w:tc>
          <w:tcPr>
            <w:tcW w:w="1134" w:type="dxa"/>
          </w:tcPr>
          <w:p w14:paraId="7FF931E7" w14:textId="77777777" w:rsidR="00447235" w:rsidRPr="0045503F" w:rsidRDefault="00447235" w:rsidP="006641A6">
            <w:pPr>
              <w:spacing w:after="0"/>
              <w:jc w:val="both"/>
            </w:pPr>
            <w:r w:rsidRPr="0045503F">
              <w:t>A</w:t>
            </w:r>
          </w:p>
        </w:tc>
        <w:tc>
          <w:tcPr>
            <w:tcW w:w="2268" w:type="dxa"/>
          </w:tcPr>
          <w:p w14:paraId="15FC6594" w14:textId="77777777" w:rsidR="00447235" w:rsidRPr="0045503F" w:rsidRDefault="00447235" w:rsidP="006641A6">
            <w:pPr>
              <w:spacing w:after="0"/>
              <w:jc w:val="both"/>
            </w:pPr>
            <w:r w:rsidRPr="0045503F">
              <w:t>POST</w:t>
            </w:r>
          </w:p>
        </w:tc>
        <w:tc>
          <w:tcPr>
            <w:tcW w:w="1842" w:type="dxa"/>
          </w:tcPr>
          <w:p w14:paraId="0ED19F95" w14:textId="77777777" w:rsidR="00447235" w:rsidRPr="0045503F" w:rsidRDefault="00447235" w:rsidP="006641A6">
            <w:pPr>
              <w:spacing w:after="0"/>
              <w:jc w:val="both"/>
            </w:pPr>
            <w:r w:rsidRPr="0045503F">
              <w:t>45</w:t>
            </w:r>
          </w:p>
        </w:tc>
        <w:tc>
          <w:tcPr>
            <w:tcW w:w="1417" w:type="dxa"/>
          </w:tcPr>
          <w:p w14:paraId="1AE3CF2E" w14:textId="77777777" w:rsidR="00447235" w:rsidRPr="0045503F" w:rsidRDefault="00447235" w:rsidP="006641A6">
            <w:pPr>
              <w:spacing w:after="0"/>
              <w:jc w:val="both"/>
            </w:pPr>
            <w:r w:rsidRPr="0045503F">
              <w:t>6</w:t>
            </w:r>
            <w:r w:rsidR="0095020E">
              <w:t xml:space="preserve"> </w:t>
            </w:r>
            <w:r w:rsidRPr="0045503F">
              <w:t>(1)</w:t>
            </w:r>
          </w:p>
        </w:tc>
      </w:tr>
      <w:tr w:rsidR="00447235" w:rsidRPr="007C2BB9" w14:paraId="5D64B54D" w14:textId="77777777" w:rsidTr="00E73A21">
        <w:trPr>
          <w:trHeight w:val="190"/>
          <w:jc w:val="center"/>
        </w:trPr>
        <w:tc>
          <w:tcPr>
            <w:tcW w:w="4395" w:type="dxa"/>
          </w:tcPr>
          <w:p w14:paraId="16AF4AE8" w14:textId="77777777" w:rsidR="00447235" w:rsidRPr="0045503F" w:rsidRDefault="00447235" w:rsidP="006641A6">
            <w:pPr>
              <w:spacing w:after="0"/>
              <w:jc w:val="both"/>
            </w:pPr>
            <w:r w:rsidRPr="0045503F">
              <w:t>Clethodim (240g/L)</w:t>
            </w:r>
          </w:p>
        </w:tc>
        <w:tc>
          <w:tcPr>
            <w:tcW w:w="1134" w:type="dxa"/>
          </w:tcPr>
          <w:p w14:paraId="5DD964FF" w14:textId="77777777" w:rsidR="00447235" w:rsidRPr="0045503F" w:rsidRDefault="00447235" w:rsidP="006641A6">
            <w:pPr>
              <w:spacing w:after="0"/>
              <w:jc w:val="both"/>
            </w:pPr>
            <w:r w:rsidRPr="0045503F">
              <w:t>A</w:t>
            </w:r>
          </w:p>
        </w:tc>
        <w:tc>
          <w:tcPr>
            <w:tcW w:w="2268" w:type="dxa"/>
          </w:tcPr>
          <w:p w14:paraId="780465BF" w14:textId="77777777" w:rsidR="00447235" w:rsidRPr="0045503F" w:rsidRDefault="00447235" w:rsidP="006641A6">
            <w:pPr>
              <w:spacing w:after="0"/>
              <w:jc w:val="both"/>
            </w:pPr>
            <w:r w:rsidRPr="0045503F">
              <w:t>POST</w:t>
            </w:r>
          </w:p>
        </w:tc>
        <w:tc>
          <w:tcPr>
            <w:tcW w:w="1842" w:type="dxa"/>
          </w:tcPr>
          <w:p w14:paraId="5BC04BCB" w14:textId="77777777" w:rsidR="00447235" w:rsidRPr="0045503F" w:rsidRDefault="00447235" w:rsidP="006641A6">
            <w:pPr>
              <w:spacing w:after="0"/>
              <w:jc w:val="both"/>
            </w:pPr>
            <w:r w:rsidRPr="0045503F">
              <w:t>120</w:t>
            </w:r>
          </w:p>
        </w:tc>
        <w:tc>
          <w:tcPr>
            <w:tcW w:w="1417" w:type="dxa"/>
          </w:tcPr>
          <w:p w14:paraId="7B288AE0" w14:textId="77777777" w:rsidR="00447235" w:rsidRPr="0045503F" w:rsidRDefault="00447235" w:rsidP="006641A6">
            <w:pPr>
              <w:spacing w:after="0"/>
              <w:jc w:val="both"/>
            </w:pPr>
            <w:r w:rsidRPr="0045503F">
              <w:t>12 (1)</w:t>
            </w:r>
          </w:p>
        </w:tc>
      </w:tr>
      <w:tr w:rsidR="00447235" w:rsidRPr="007C2BB9" w14:paraId="7EBCFB35" w14:textId="77777777" w:rsidTr="00E73A21">
        <w:trPr>
          <w:trHeight w:val="190"/>
          <w:jc w:val="center"/>
        </w:trPr>
        <w:tc>
          <w:tcPr>
            <w:tcW w:w="4395" w:type="dxa"/>
          </w:tcPr>
          <w:p w14:paraId="7B8C239C" w14:textId="77777777" w:rsidR="00447235" w:rsidRPr="0045503F" w:rsidRDefault="00447235" w:rsidP="006641A6">
            <w:pPr>
              <w:spacing w:after="0"/>
              <w:jc w:val="both"/>
            </w:pPr>
            <w:r w:rsidRPr="0045503F">
              <w:t xml:space="preserve">Clethodim + </w:t>
            </w:r>
            <w:proofErr w:type="spellStart"/>
            <w:r w:rsidRPr="0045503F">
              <w:t>Butroxydim</w:t>
            </w:r>
            <w:proofErr w:type="spellEnd"/>
          </w:p>
        </w:tc>
        <w:tc>
          <w:tcPr>
            <w:tcW w:w="1134" w:type="dxa"/>
          </w:tcPr>
          <w:p w14:paraId="4A3F134E" w14:textId="77777777" w:rsidR="00447235" w:rsidRPr="0045503F" w:rsidRDefault="00447235" w:rsidP="006641A6">
            <w:pPr>
              <w:spacing w:after="0"/>
              <w:jc w:val="both"/>
            </w:pPr>
            <w:r w:rsidRPr="0045503F">
              <w:t>A</w:t>
            </w:r>
          </w:p>
        </w:tc>
        <w:tc>
          <w:tcPr>
            <w:tcW w:w="2268" w:type="dxa"/>
          </w:tcPr>
          <w:p w14:paraId="70D46615" w14:textId="77777777" w:rsidR="00447235" w:rsidRPr="0045503F" w:rsidRDefault="00447235" w:rsidP="006641A6">
            <w:pPr>
              <w:spacing w:after="0"/>
              <w:jc w:val="both"/>
            </w:pPr>
            <w:r w:rsidRPr="0045503F">
              <w:t>POST (mixture)</w:t>
            </w:r>
          </w:p>
        </w:tc>
        <w:tc>
          <w:tcPr>
            <w:tcW w:w="1842" w:type="dxa"/>
          </w:tcPr>
          <w:p w14:paraId="1F5D3029" w14:textId="77777777" w:rsidR="00447235" w:rsidRPr="0045503F" w:rsidRDefault="00447235" w:rsidP="006641A6">
            <w:pPr>
              <w:spacing w:after="0"/>
              <w:jc w:val="both"/>
            </w:pPr>
            <w:r w:rsidRPr="0045503F">
              <w:t>120 + 45</w:t>
            </w:r>
          </w:p>
        </w:tc>
        <w:tc>
          <w:tcPr>
            <w:tcW w:w="1417" w:type="dxa"/>
          </w:tcPr>
          <w:p w14:paraId="550D6A89" w14:textId="77777777" w:rsidR="00447235" w:rsidRPr="0045503F" w:rsidRDefault="00447235" w:rsidP="006641A6">
            <w:pPr>
              <w:spacing w:after="0"/>
              <w:jc w:val="both"/>
            </w:pPr>
            <w:r w:rsidRPr="0045503F">
              <w:t>2 (1)</w:t>
            </w:r>
          </w:p>
        </w:tc>
      </w:tr>
      <w:tr w:rsidR="00447235" w:rsidRPr="007C2BB9" w14:paraId="0E694A82" w14:textId="77777777" w:rsidTr="00E73A21">
        <w:trPr>
          <w:trHeight w:val="190"/>
          <w:jc w:val="center"/>
        </w:trPr>
        <w:tc>
          <w:tcPr>
            <w:tcW w:w="4395" w:type="dxa"/>
          </w:tcPr>
          <w:p w14:paraId="32FE209B" w14:textId="77777777" w:rsidR="00447235" w:rsidRPr="0045503F" w:rsidRDefault="00447235" w:rsidP="006641A6">
            <w:pPr>
              <w:spacing w:after="0"/>
              <w:jc w:val="both"/>
            </w:pPr>
          </w:p>
        </w:tc>
        <w:tc>
          <w:tcPr>
            <w:tcW w:w="1134" w:type="dxa"/>
          </w:tcPr>
          <w:p w14:paraId="5A35B9FE" w14:textId="77777777" w:rsidR="00447235" w:rsidRPr="0045503F" w:rsidRDefault="00447235" w:rsidP="006641A6">
            <w:pPr>
              <w:spacing w:after="0"/>
              <w:jc w:val="both"/>
            </w:pPr>
          </w:p>
        </w:tc>
        <w:tc>
          <w:tcPr>
            <w:tcW w:w="2268" w:type="dxa"/>
          </w:tcPr>
          <w:p w14:paraId="5A2D1D63" w14:textId="77777777" w:rsidR="00447235" w:rsidRPr="0045503F" w:rsidRDefault="00447235" w:rsidP="006641A6">
            <w:pPr>
              <w:spacing w:after="0"/>
              <w:jc w:val="both"/>
            </w:pPr>
          </w:p>
        </w:tc>
        <w:tc>
          <w:tcPr>
            <w:tcW w:w="1842" w:type="dxa"/>
          </w:tcPr>
          <w:p w14:paraId="0FCD502F" w14:textId="77777777" w:rsidR="00447235" w:rsidRPr="0045503F" w:rsidRDefault="00447235" w:rsidP="006641A6">
            <w:pPr>
              <w:spacing w:after="0"/>
              <w:jc w:val="both"/>
            </w:pPr>
          </w:p>
        </w:tc>
        <w:tc>
          <w:tcPr>
            <w:tcW w:w="1417" w:type="dxa"/>
          </w:tcPr>
          <w:p w14:paraId="5289E028" w14:textId="77777777" w:rsidR="00447235" w:rsidRPr="0045503F" w:rsidRDefault="00447235" w:rsidP="006641A6">
            <w:pPr>
              <w:spacing w:after="0"/>
              <w:jc w:val="both"/>
            </w:pPr>
          </w:p>
        </w:tc>
      </w:tr>
      <w:tr w:rsidR="00447235" w:rsidRPr="007C2BB9" w14:paraId="5A7218FE" w14:textId="77777777" w:rsidTr="00E73A21">
        <w:trPr>
          <w:trHeight w:val="190"/>
          <w:jc w:val="center"/>
        </w:trPr>
        <w:tc>
          <w:tcPr>
            <w:tcW w:w="4395" w:type="dxa"/>
          </w:tcPr>
          <w:p w14:paraId="785C06E2" w14:textId="77777777" w:rsidR="00447235" w:rsidRPr="0045503F" w:rsidRDefault="00447235" w:rsidP="006641A6">
            <w:pPr>
              <w:spacing w:after="0"/>
              <w:jc w:val="both"/>
            </w:pPr>
            <w:proofErr w:type="spellStart"/>
            <w:r w:rsidRPr="0045503F">
              <w:t>Prosulfocarb</w:t>
            </w:r>
            <w:proofErr w:type="spellEnd"/>
            <w:r w:rsidRPr="0045503F" w:rsidDel="00250042">
              <w:t xml:space="preserve"> </w:t>
            </w:r>
            <w:r w:rsidRPr="0045503F">
              <w:t>(800g/L)</w:t>
            </w:r>
          </w:p>
        </w:tc>
        <w:tc>
          <w:tcPr>
            <w:tcW w:w="1134" w:type="dxa"/>
          </w:tcPr>
          <w:p w14:paraId="7D810C00" w14:textId="77777777" w:rsidR="00447235" w:rsidRPr="0045503F" w:rsidRDefault="00447235" w:rsidP="006641A6">
            <w:pPr>
              <w:spacing w:after="0"/>
              <w:jc w:val="both"/>
            </w:pPr>
            <w:r w:rsidRPr="0045503F">
              <w:t>N</w:t>
            </w:r>
          </w:p>
        </w:tc>
        <w:tc>
          <w:tcPr>
            <w:tcW w:w="2268" w:type="dxa"/>
          </w:tcPr>
          <w:p w14:paraId="5AB65E99" w14:textId="77777777" w:rsidR="00447235" w:rsidRPr="0045503F" w:rsidRDefault="00447235" w:rsidP="006641A6">
            <w:pPr>
              <w:spacing w:after="0"/>
              <w:jc w:val="both"/>
            </w:pPr>
            <w:r w:rsidRPr="0045503F">
              <w:t>PRE</w:t>
            </w:r>
          </w:p>
        </w:tc>
        <w:tc>
          <w:tcPr>
            <w:tcW w:w="1842" w:type="dxa"/>
          </w:tcPr>
          <w:p w14:paraId="21580480" w14:textId="77777777" w:rsidR="00447235" w:rsidRPr="0045503F" w:rsidRDefault="00447235" w:rsidP="006641A6">
            <w:pPr>
              <w:spacing w:after="0"/>
              <w:jc w:val="both"/>
            </w:pPr>
            <w:r w:rsidRPr="0045503F">
              <w:t>2000 - 2400</w:t>
            </w:r>
          </w:p>
        </w:tc>
        <w:tc>
          <w:tcPr>
            <w:tcW w:w="1417" w:type="dxa"/>
          </w:tcPr>
          <w:p w14:paraId="48B17213" w14:textId="77777777" w:rsidR="00447235" w:rsidRPr="0045503F" w:rsidRDefault="00447235" w:rsidP="006641A6">
            <w:pPr>
              <w:spacing w:after="0"/>
              <w:jc w:val="both"/>
            </w:pPr>
            <w:r w:rsidRPr="0045503F">
              <w:t>5 (0.5)</w:t>
            </w:r>
          </w:p>
        </w:tc>
      </w:tr>
      <w:tr w:rsidR="00447235" w:rsidRPr="007C2BB9" w14:paraId="04FAAF15" w14:textId="77777777" w:rsidTr="00E73A21">
        <w:trPr>
          <w:trHeight w:val="190"/>
          <w:jc w:val="center"/>
        </w:trPr>
        <w:tc>
          <w:tcPr>
            <w:tcW w:w="4395" w:type="dxa"/>
          </w:tcPr>
          <w:p w14:paraId="6635BD29" w14:textId="77777777" w:rsidR="00447235" w:rsidRPr="0045503F" w:rsidRDefault="00447235" w:rsidP="006641A6">
            <w:pPr>
              <w:spacing w:after="0"/>
              <w:jc w:val="both"/>
            </w:pPr>
            <w:proofErr w:type="spellStart"/>
            <w:r w:rsidRPr="0045503F">
              <w:t>Pyroxasulfone</w:t>
            </w:r>
            <w:proofErr w:type="spellEnd"/>
            <w:r w:rsidRPr="0045503F" w:rsidDel="00250042">
              <w:t xml:space="preserve"> </w:t>
            </w:r>
            <w:r w:rsidRPr="0045503F">
              <w:t>(850g/kg)</w:t>
            </w:r>
          </w:p>
        </w:tc>
        <w:tc>
          <w:tcPr>
            <w:tcW w:w="1134" w:type="dxa"/>
          </w:tcPr>
          <w:p w14:paraId="36A6B585" w14:textId="77777777" w:rsidR="00447235" w:rsidRPr="0045503F" w:rsidRDefault="00447235" w:rsidP="006641A6">
            <w:pPr>
              <w:spacing w:after="0"/>
              <w:jc w:val="both"/>
            </w:pPr>
            <w:r w:rsidRPr="0045503F">
              <w:t>K3</w:t>
            </w:r>
          </w:p>
        </w:tc>
        <w:tc>
          <w:tcPr>
            <w:tcW w:w="2268" w:type="dxa"/>
          </w:tcPr>
          <w:p w14:paraId="348E912C" w14:textId="77777777" w:rsidR="00447235" w:rsidRPr="0045503F" w:rsidRDefault="00447235" w:rsidP="006641A6">
            <w:pPr>
              <w:spacing w:after="0"/>
              <w:jc w:val="both"/>
            </w:pPr>
            <w:r w:rsidRPr="0045503F">
              <w:t>PRE</w:t>
            </w:r>
          </w:p>
        </w:tc>
        <w:tc>
          <w:tcPr>
            <w:tcW w:w="1842" w:type="dxa"/>
          </w:tcPr>
          <w:p w14:paraId="5C64275D" w14:textId="77777777" w:rsidR="00447235" w:rsidRPr="0045503F" w:rsidRDefault="00447235" w:rsidP="006641A6">
            <w:pPr>
              <w:spacing w:after="0"/>
              <w:jc w:val="both"/>
            </w:pPr>
            <w:r w:rsidRPr="0045503F">
              <w:t>100</w:t>
            </w:r>
          </w:p>
        </w:tc>
        <w:tc>
          <w:tcPr>
            <w:tcW w:w="1417" w:type="dxa"/>
          </w:tcPr>
          <w:p w14:paraId="09470796" w14:textId="77777777" w:rsidR="00447235" w:rsidRPr="0045503F" w:rsidRDefault="00447235" w:rsidP="006641A6">
            <w:pPr>
              <w:spacing w:after="0"/>
              <w:jc w:val="both"/>
            </w:pPr>
            <w:r w:rsidRPr="0045503F">
              <w:t>2 (0.3)</w:t>
            </w:r>
          </w:p>
        </w:tc>
      </w:tr>
      <w:tr w:rsidR="00447235" w:rsidRPr="007C2BB9" w14:paraId="20BD8414" w14:textId="77777777" w:rsidTr="00E73A21">
        <w:trPr>
          <w:trHeight w:val="190"/>
          <w:jc w:val="center"/>
        </w:trPr>
        <w:tc>
          <w:tcPr>
            <w:tcW w:w="4395" w:type="dxa"/>
          </w:tcPr>
          <w:p w14:paraId="201B64D7" w14:textId="77777777" w:rsidR="00447235" w:rsidRPr="0045503F" w:rsidRDefault="00447235" w:rsidP="006641A6">
            <w:pPr>
              <w:spacing w:after="0"/>
              <w:jc w:val="both"/>
            </w:pPr>
            <w:r w:rsidRPr="0045503F">
              <w:t>Triallate (500g/L)</w:t>
            </w:r>
          </w:p>
        </w:tc>
        <w:tc>
          <w:tcPr>
            <w:tcW w:w="1134" w:type="dxa"/>
          </w:tcPr>
          <w:p w14:paraId="55F84606" w14:textId="77777777" w:rsidR="00447235" w:rsidRPr="0045503F" w:rsidRDefault="00447235" w:rsidP="006641A6">
            <w:pPr>
              <w:spacing w:after="0"/>
              <w:jc w:val="both"/>
            </w:pPr>
            <w:r w:rsidRPr="0045503F">
              <w:t>N</w:t>
            </w:r>
          </w:p>
        </w:tc>
        <w:tc>
          <w:tcPr>
            <w:tcW w:w="2268" w:type="dxa"/>
          </w:tcPr>
          <w:p w14:paraId="30A33DAE" w14:textId="77777777" w:rsidR="00447235" w:rsidRPr="0045503F" w:rsidRDefault="00447235" w:rsidP="006641A6">
            <w:pPr>
              <w:spacing w:after="0"/>
              <w:jc w:val="both"/>
            </w:pPr>
            <w:r w:rsidRPr="0045503F">
              <w:t>PRE</w:t>
            </w:r>
          </w:p>
        </w:tc>
        <w:tc>
          <w:tcPr>
            <w:tcW w:w="1842" w:type="dxa"/>
          </w:tcPr>
          <w:p w14:paraId="01820C77" w14:textId="77777777" w:rsidR="00447235" w:rsidRPr="0045503F" w:rsidRDefault="00447235" w:rsidP="006641A6">
            <w:pPr>
              <w:spacing w:after="0"/>
              <w:jc w:val="both"/>
            </w:pPr>
            <w:r w:rsidRPr="0045503F">
              <w:t>1500</w:t>
            </w:r>
          </w:p>
        </w:tc>
        <w:tc>
          <w:tcPr>
            <w:tcW w:w="1417" w:type="dxa"/>
          </w:tcPr>
          <w:p w14:paraId="7524D2F2" w14:textId="77777777" w:rsidR="00447235" w:rsidRPr="0045503F" w:rsidRDefault="00447235" w:rsidP="006641A6">
            <w:pPr>
              <w:spacing w:after="0"/>
              <w:jc w:val="both"/>
            </w:pPr>
            <w:r w:rsidRPr="0045503F">
              <w:t>2 (0.3)</w:t>
            </w:r>
          </w:p>
        </w:tc>
      </w:tr>
      <w:tr w:rsidR="00447235" w:rsidRPr="007C2BB9" w14:paraId="087236FB" w14:textId="77777777" w:rsidTr="00E73A21">
        <w:trPr>
          <w:trHeight w:val="190"/>
          <w:jc w:val="center"/>
        </w:trPr>
        <w:tc>
          <w:tcPr>
            <w:tcW w:w="4395" w:type="dxa"/>
          </w:tcPr>
          <w:p w14:paraId="2180C384" w14:textId="77777777" w:rsidR="00447235" w:rsidRPr="0045503F" w:rsidRDefault="00447235" w:rsidP="006641A6">
            <w:pPr>
              <w:spacing w:after="0"/>
              <w:jc w:val="both"/>
            </w:pPr>
            <w:r w:rsidRPr="0045503F">
              <w:t>Trifluralin (480g/L)</w:t>
            </w:r>
          </w:p>
        </w:tc>
        <w:tc>
          <w:tcPr>
            <w:tcW w:w="1134" w:type="dxa"/>
          </w:tcPr>
          <w:p w14:paraId="63D96708" w14:textId="77777777" w:rsidR="00447235" w:rsidRPr="0045503F" w:rsidRDefault="00447235" w:rsidP="006641A6">
            <w:pPr>
              <w:spacing w:after="0"/>
              <w:jc w:val="both"/>
            </w:pPr>
            <w:r w:rsidRPr="0045503F">
              <w:t>K1</w:t>
            </w:r>
          </w:p>
        </w:tc>
        <w:tc>
          <w:tcPr>
            <w:tcW w:w="2268" w:type="dxa"/>
          </w:tcPr>
          <w:p w14:paraId="26529412" w14:textId="77777777" w:rsidR="00447235" w:rsidRPr="0045503F" w:rsidRDefault="00447235" w:rsidP="006641A6">
            <w:pPr>
              <w:spacing w:after="0"/>
              <w:jc w:val="both"/>
            </w:pPr>
            <w:r w:rsidRPr="0045503F">
              <w:t>PRE</w:t>
            </w:r>
          </w:p>
        </w:tc>
        <w:tc>
          <w:tcPr>
            <w:tcW w:w="1842" w:type="dxa"/>
          </w:tcPr>
          <w:p w14:paraId="49073B2C" w14:textId="77777777" w:rsidR="00447235" w:rsidRPr="0045503F" w:rsidRDefault="00447235" w:rsidP="006641A6">
            <w:pPr>
              <w:spacing w:after="0"/>
              <w:jc w:val="both"/>
            </w:pPr>
            <w:r w:rsidRPr="0045503F">
              <w:t>480 - 720</w:t>
            </w:r>
          </w:p>
        </w:tc>
        <w:tc>
          <w:tcPr>
            <w:tcW w:w="1417" w:type="dxa"/>
          </w:tcPr>
          <w:p w14:paraId="3575EF83" w14:textId="77777777" w:rsidR="00447235" w:rsidRPr="0045503F" w:rsidRDefault="00447235" w:rsidP="006641A6">
            <w:pPr>
              <w:spacing w:after="0"/>
              <w:jc w:val="both"/>
            </w:pPr>
            <w:r w:rsidRPr="0045503F">
              <w:t>12 (2)</w:t>
            </w:r>
          </w:p>
        </w:tc>
      </w:tr>
      <w:tr w:rsidR="00447235" w:rsidRPr="007C2BB9" w14:paraId="497D20A4" w14:textId="77777777" w:rsidTr="00E73A21">
        <w:trPr>
          <w:trHeight w:val="190"/>
          <w:jc w:val="center"/>
        </w:trPr>
        <w:tc>
          <w:tcPr>
            <w:tcW w:w="4395" w:type="dxa"/>
          </w:tcPr>
          <w:p w14:paraId="20B3EC1D" w14:textId="77777777" w:rsidR="00447235" w:rsidRPr="0045503F" w:rsidRDefault="00447235" w:rsidP="006641A6">
            <w:pPr>
              <w:spacing w:after="0"/>
              <w:jc w:val="both"/>
            </w:pPr>
            <w:r w:rsidRPr="0045503F">
              <w:t xml:space="preserve">Trifluralin + </w:t>
            </w:r>
            <w:proofErr w:type="spellStart"/>
            <w:r w:rsidRPr="0045503F">
              <w:t>Prosulfocarb</w:t>
            </w:r>
            <w:proofErr w:type="spellEnd"/>
          </w:p>
        </w:tc>
        <w:tc>
          <w:tcPr>
            <w:tcW w:w="1134" w:type="dxa"/>
          </w:tcPr>
          <w:p w14:paraId="3175DF77" w14:textId="77777777" w:rsidR="00447235" w:rsidRPr="0045503F" w:rsidRDefault="00447235" w:rsidP="006641A6">
            <w:pPr>
              <w:spacing w:after="0"/>
              <w:jc w:val="both"/>
            </w:pPr>
            <w:r w:rsidRPr="0045503F">
              <w:t>K1 + N</w:t>
            </w:r>
          </w:p>
        </w:tc>
        <w:tc>
          <w:tcPr>
            <w:tcW w:w="2268" w:type="dxa"/>
          </w:tcPr>
          <w:p w14:paraId="120AA449" w14:textId="77777777" w:rsidR="00447235" w:rsidRPr="0045503F" w:rsidRDefault="00447235" w:rsidP="006641A6">
            <w:pPr>
              <w:spacing w:after="0"/>
              <w:jc w:val="both"/>
            </w:pPr>
            <w:r w:rsidRPr="0045503F">
              <w:t>PRE (mixture)</w:t>
            </w:r>
          </w:p>
        </w:tc>
        <w:tc>
          <w:tcPr>
            <w:tcW w:w="1842" w:type="dxa"/>
          </w:tcPr>
          <w:p w14:paraId="3D4D4602" w14:textId="77777777" w:rsidR="00447235" w:rsidRPr="0045503F" w:rsidRDefault="00447235" w:rsidP="006641A6">
            <w:pPr>
              <w:spacing w:after="0"/>
              <w:jc w:val="both"/>
            </w:pPr>
            <w:r w:rsidRPr="0045503F">
              <w:t>720 + 2400</w:t>
            </w:r>
          </w:p>
        </w:tc>
        <w:tc>
          <w:tcPr>
            <w:tcW w:w="1417" w:type="dxa"/>
          </w:tcPr>
          <w:p w14:paraId="58838B20" w14:textId="77777777" w:rsidR="00447235" w:rsidRPr="0045503F" w:rsidRDefault="00447235" w:rsidP="006641A6">
            <w:pPr>
              <w:spacing w:after="0"/>
              <w:jc w:val="both"/>
            </w:pPr>
            <w:r w:rsidRPr="0045503F">
              <w:t>0.9 (0.2)</w:t>
            </w:r>
          </w:p>
        </w:tc>
      </w:tr>
      <w:tr w:rsidR="00447235" w:rsidRPr="007C2BB9" w14:paraId="35A369E2" w14:textId="77777777" w:rsidTr="00E73A21">
        <w:trPr>
          <w:trHeight w:val="190"/>
          <w:jc w:val="center"/>
        </w:trPr>
        <w:tc>
          <w:tcPr>
            <w:tcW w:w="4395" w:type="dxa"/>
          </w:tcPr>
          <w:p w14:paraId="605A217F" w14:textId="77777777" w:rsidR="00447235" w:rsidRPr="0045503F" w:rsidRDefault="00447235" w:rsidP="006641A6">
            <w:pPr>
              <w:spacing w:after="0"/>
              <w:jc w:val="both"/>
            </w:pPr>
            <w:r w:rsidRPr="0045503F">
              <w:t xml:space="preserve">Trifluralin + </w:t>
            </w:r>
            <w:proofErr w:type="spellStart"/>
            <w:r w:rsidRPr="0045503F">
              <w:t>Pyroxasulfone</w:t>
            </w:r>
            <w:proofErr w:type="spellEnd"/>
          </w:p>
        </w:tc>
        <w:tc>
          <w:tcPr>
            <w:tcW w:w="1134" w:type="dxa"/>
          </w:tcPr>
          <w:p w14:paraId="7CC3F0E1" w14:textId="77777777" w:rsidR="00447235" w:rsidRPr="0045503F" w:rsidRDefault="00447235" w:rsidP="006641A6">
            <w:pPr>
              <w:spacing w:after="0"/>
              <w:jc w:val="both"/>
            </w:pPr>
            <w:r w:rsidRPr="0045503F">
              <w:t>K1 + K3</w:t>
            </w:r>
          </w:p>
        </w:tc>
        <w:tc>
          <w:tcPr>
            <w:tcW w:w="2268" w:type="dxa"/>
          </w:tcPr>
          <w:p w14:paraId="03FCEF96" w14:textId="77777777" w:rsidR="00447235" w:rsidRPr="0045503F" w:rsidRDefault="00447235" w:rsidP="006641A6">
            <w:pPr>
              <w:spacing w:after="0"/>
              <w:jc w:val="both"/>
            </w:pPr>
            <w:r w:rsidRPr="0045503F">
              <w:t>PRE (mixture)</w:t>
            </w:r>
          </w:p>
        </w:tc>
        <w:tc>
          <w:tcPr>
            <w:tcW w:w="1842" w:type="dxa"/>
          </w:tcPr>
          <w:p w14:paraId="19800D1C" w14:textId="77777777" w:rsidR="00447235" w:rsidRPr="0045503F" w:rsidRDefault="00447235" w:rsidP="006641A6">
            <w:pPr>
              <w:spacing w:after="0"/>
              <w:jc w:val="both"/>
            </w:pPr>
            <w:r w:rsidRPr="0045503F">
              <w:t>720 + 100</w:t>
            </w:r>
          </w:p>
        </w:tc>
        <w:tc>
          <w:tcPr>
            <w:tcW w:w="1417" w:type="dxa"/>
          </w:tcPr>
          <w:p w14:paraId="6083A6D0" w14:textId="77777777" w:rsidR="00447235" w:rsidRPr="0045503F" w:rsidRDefault="00447235" w:rsidP="006641A6">
            <w:pPr>
              <w:spacing w:after="0"/>
              <w:jc w:val="both"/>
            </w:pPr>
            <w:r w:rsidRPr="0045503F">
              <w:t>0.8 (0.2)</w:t>
            </w:r>
          </w:p>
        </w:tc>
      </w:tr>
      <w:tr w:rsidR="00447235" w:rsidRPr="007C2BB9" w14:paraId="4160EB83" w14:textId="77777777" w:rsidTr="00E73A21">
        <w:trPr>
          <w:trHeight w:val="190"/>
          <w:jc w:val="center"/>
        </w:trPr>
        <w:tc>
          <w:tcPr>
            <w:tcW w:w="4395" w:type="dxa"/>
          </w:tcPr>
          <w:p w14:paraId="5921C14A" w14:textId="77777777" w:rsidR="00447235" w:rsidRPr="0045503F" w:rsidRDefault="00447235" w:rsidP="006641A6">
            <w:pPr>
              <w:spacing w:after="0"/>
              <w:jc w:val="both"/>
            </w:pPr>
            <w:r w:rsidRPr="0045503F">
              <w:t>Trifluralin + Triallate</w:t>
            </w:r>
          </w:p>
        </w:tc>
        <w:tc>
          <w:tcPr>
            <w:tcW w:w="1134" w:type="dxa"/>
          </w:tcPr>
          <w:p w14:paraId="7F012AF1" w14:textId="77777777" w:rsidR="00447235" w:rsidRPr="0045503F" w:rsidRDefault="00447235" w:rsidP="006641A6">
            <w:pPr>
              <w:spacing w:after="0"/>
              <w:jc w:val="both"/>
            </w:pPr>
            <w:r w:rsidRPr="0045503F">
              <w:t>K1 + N</w:t>
            </w:r>
          </w:p>
        </w:tc>
        <w:tc>
          <w:tcPr>
            <w:tcW w:w="2268" w:type="dxa"/>
          </w:tcPr>
          <w:p w14:paraId="6AD95171" w14:textId="77777777" w:rsidR="00447235" w:rsidRPr="0045503F" w:rsidRDefault="00447235" w:rsidP="006641A6">
            <w:pPr>
              <w:spacing w:after="0"/>
              <w:jc w:val="both"/>
            </w:pPr>
            <w:r w:rsidRPr="0045503F">
              <w:t>PRE (mixture)</w:t>
            </w:r>
          </w:p>
        </w:tc>
        <w:tc>
          <w:tcPr>
            <w:tcW w:w="1842" w:type="dxa"/>
          </w:tcPr>
          <w:p w14:paraId="2E16397D" w14:textId="77777777" w:rsidR="00447235" w:rsidRPr="0045503F" w:rsidRDefault="00447235" w:rsidP="006641A6">
            <w:pPr>
              <w:spacing w:after="0"/>
              <w:jc w:val="both"/>
            </w:pPr>
            <w:r w:rsidRPr="0045503F">
              <w:t>720 + 1500</w:t>
            </w:r>
          </w:p>
        </w:tc>
        <w:tc>
          <w:tcPr>
            <w:tcW w:w="1417" w:type="dxa"/>
          </w:tcPr>
          <w:p w14:paraId="25A8375F" w14:textId="77777777" w:rsidR="00447235" w:rsidRPr="0045503F" w:rsidRDefault="00447235" w:rsidP="006641A6">
            <w:pPr>
              <w:spacing w:after="0"/>
              <w:jc w:val="both"/>
            </w:pPr>
            <w:r w:rsidRPr="0045503F">
              <w:t>0.1 (0.0)</w:t>
            </w:r>
          </w:p>
        </w:tc>
      </w:tr>
      <w:tr w:rsidR="00447235" w:rsidRPr="007C2BB9" w14:paraId="5E4AB43C" w14:textId="77777777" w:rsidTr="00E73A21">
        <w:trPr>
          <w:trHeight w:val="190"/>
          <w:jc w:val="center"/>
        </w:trPr>
        <w:tc>
          <w:tcPr>
            <w:tcW w:w="4395" w:type="dxa"/>
          </w:tcPr>
          <w:p w14:paraId="3E37DCAD" w14:textId="77777777" w:rsidR="00447235" w:rsidRPr="0045503F" w:rsidRDefault="00447235" w:rsidP="006641A6">
            <w:pPr>
              <w:spacing w:after="0"/>
              <w:jc w:val="both"/>
            </w:pPr>
            <w:proofErr w:type="spellStart"/>
            <w:r w:rsidRPr="0045503F">
              <w:t>Prosulfocarb</w:t>
            </w:r>
            <w:proofErr w:type="spellEnd"/>
            <w:r w:rsidRPr="0045503F">
              <w:t xml:space="preserve"> + Triallate</w:t>
            </w:r>
          </w:p>
        </w:tc>
        <w:tc>
          <w:tcPr>
            <w:tcW w:w="1134" w:type="dxa"/>
          </w:tcPr>
          <w:p w14:paraId="0019BBC2" w14:textId="77777777" w:rsidR="00447235" w:rsidRPr="0045503F" w:rsidRDefault="00447235" w:rsidP="006641A6">
            <w:pPr>
              <w:spacing w:after="0"/>
              <w:jc w:val="both"/>
            </w:pPr>
            <w:r w:rsidRPr="0045503F">
              <w:t>N + N</w:t>
            </w:r>
          </w:p>
        </w:tc>
        <w:tc>
          <w:tcPr>
            <w:tcW w:w="2268" w:type="dxa"/>
          </w:tcPr>
          <w:p w14:paraId="7644ABF5" w14:textId="77777777" w:rsidR="00447235" w:rsidRPr="0045503F" w:rsidRDefault="00447235" w:rsidP="006641A6">
            <w:pPr>
              <w:spacing w:after="0"/>
              <w:jc w:val="both"/>
            </w:pPr>
            <w:r w:rsidRPr="0045503F">
              <w:t>PRE (mixture)</w:t>
            </w:r>
          </w:p>
        </w:tc>
        <w:tc>
          <w:tcPr>
            <w:tcW w:w="1842" w:type="dxa"/>
          </w:tcPr>
          <w:p w14:paraId="4385D5D5" w14:textId="77777777" w:rsidR="00447235" w:rsidRPr="0045503F" w:rsidRDefault="00447235" w:rsidP="006641A6">
            <w:pPr>
              <w:spacing w:after="0"/>
              <w:jc w:val="both"/>
            </w:pPr>
            <w:r w:rsidRPr="0045503F">
              <w:t>2400 + 1500</w:t>
            </w:r>
          </w:p>
        </w:tc>
        <w:tc>
          <w:tcPr>
            <w:tcW w:w="1417" w:type="dxa"/>
          </w:tcPr>
          <w:p w14:paraId="00692F5D" w14:textId="77777777" w:rsidR="00447235" w:rsidRPr="0045503F" w:rsidRDefault="00447235" w:rsidP="006641A6">
            <w:pPr>
              <w:spacing w:after="0"/>
              <w:jc w:val="both"/>
            </w:pPr>
            <w:r w:rsidRPr="0045503F">
              <w:t>0.4 (0.1)</w:t>
            </w:r>
          </w:p>
        </w:tc>
      </w:tr>
      <w:tr w:rsidR="00447235" w:rsidRPr="007C2BB9" w14:paraId="2E0E27DF" w14:textId="77777777" w:rsidTr="00E73A21">
        <w:trPr>
          <w:trHeight w:val="190"/>
          <w:jc w:val="center"/>
        </w:trPr>
        <w:tc>
          <w:tcPr>
            <w:tcW w:w="4395" w:type="dxa"/>
          </w:tcPr>
          <w:p w14:paraId="72F15D81" w14:textId="77777777" w:rsidR="00447235" w:rsidRPr="0045503F" w:rsidRDefault="00447235" w:rsidP="006641A6">
            <w:pPr>
              <w:spacing w:after="0"/>
              <w:jc w:val="both"/>
            </w:pPr>
            <w:proofErr w:type="spellStart"/>
            <w:r w:rsidRPr="0045503F">
              <w:t>Pyroxasulfone</w:t>
            </w:r>
            <w:proofErr w:type="spellEnd"/>
            <w:r w:rsidRPr="0045503F">
              <w:t xml:space="preserve"> + </w:t>
            </w:r>
            <w:proofErr w:type="spellStart"/>
            <w:r w:rsidRPr="0045503F">
              <w:t>Prosulfocarb</w:t>
            </w:r>
            <w:proofErr w:type="spellEnd"/>
          </w:p>
        </w:tc>
        <w:tc>
          <w:tcPr>
            <w:tcW w:w="1134" w:type="dxa"/>
          </w:tcPr>
          <w:p w14:paraId="309D01D2" w14:textId="77777777" w:rsidR="00447235" w:rsidRPr="0045503F" w:rsidRDefault="00447235" w:rsidP="006641A6">
            <w:pPr>
              <w:spacing w:after="0"/>
              <w:jc w:val="both"/>
            </w:pPr>
            <w:r w:rsidRPr="0045503F">
              <w:t>K3 + N</w:t>
            </w:r>
          </w:p>
        </w:tc>
        <w:tc>
          <w:tcPr>
            <w:tcW w:w="2268" w:type="dxa"/>
          </w:tcPr>
          <w:p w14:paraId="125B94C2" w14:textId="77777777" w:rsidR="00447235" w:rsidRPr="0045503F" w:rsidRDefault="00447235" w:rsidP="006641A6">
            <w:pPr>
              <w:spacing w:after="0"/>
              <w:jc w:val="both"/>
            </w:pPr>
            <w:r w:rsidRPr="0045503F">
              <w:t>PRE (mixture)</w:t>
            </w:r>
          </w:p>
        </w:tc>
        <w:tc>
          <w:tcPr>
            <w:tcW w:w="1842" w:type="dxa"/>
          </w:tcPr>
          <w:p w14:paraId="5E66842E" w14:textId="77777777" w:rsidR="00447235" w:rsidRPr="0045503F" w:rsidRDefault="00447235" w:rsidP="006641A6">
            <w:pPr>
              <w:spacing w:after="0"/>
              <w:jc w:val="both"/>
            </w:pPr>
            <w:r w:rsidRPr="0045503F">
              <w:t>100 + 2400</w:t>
            </w:r>
          </w:p>
        </w:tc>
        <w:tc>
          <w:tcPr>
            <w:tcW w:w="1417" w:type="dxa"/>
          </w:tcPr>
          <w:p w14:paraId="1DE9D146" w14:textId="77777777" w:rsidR="00447235" w:rsidRPr="0045503F" w:rsidRDefault="00447235" w:rsidP="006641A6">
            <w:pPr>
              <w:spacing w:after="0"/>
              <w:jc w:val="both"/>
            </w:pPr>
            <w:r w:rsidRPr="0045503F">
              <w:t>0.2 (0.1)</w:t>
            </w:r>
          </w:p>
        </w:tc>
      </w:tr>
      <w:tr w:rsidR="00447235" w:rsidRPr="007C2BB9" w14:paraId="0568F451" w14:textId="77777777" w:rsidTr="00E73A21">
        <w:trPr>
          <w:trHeight w:val="190"/>
          <w:jc w:val="center"/>
        </w:trPr>
        <w:tc>
          <w:tcPr>
            <w:tcW w:w="4395" w:type="dxa"/>
          </w:tcPr>
          <w:p w14:paraId="701C6DC0" w14:textId="77777777" w:rsidR="00447235" w:rsidRPr="0045503F" w:rsidRDefault="00447235" w:rsidP="006641A6">
            <w:pPr>
              <w:spacing w:after="0"/>
              <w:jc w:val="both"/>
            </w:pPr>
            <w:proofErr w:type="spellStart"/>
            <w:r w:rsidRPr="0045503F">
              <w:t>Pyroxasulfone</w:t>
            </w:r>
            <w:proofErr w:type="spellEnd"/>
            <w:r w:rsidRPr="0045503F">
              <w:t xml:space="preserve"> + Triallate</w:t>
            </w:r>
          </w:p>
        </w:tc>
        <w:tc>
          <w:tcPr>
            <w:tcW w:w="1134" w:type="dxa"/>
          </w:tcPr>
          <w:p w14:paraId="0DAB537E" w14:textId="77777777" w:rsidR="00447235" w:rsidRPr="0045503F" w:rsidRDefault="00447235" w:rsidP="006641A6">
            <w:pPr>
              <w:spacing w:after="0"/>
              <w:jc w:val="both"/>
            </w:pPr>
            <w:r w:rsidRPr="0045503F">
              <w:t>K3 + N</w:t>
            </w:r>
          </w:p>
        </w:tc>
        <w:tc>
          <w:tcPr>
            <w:tcW w:w="2268" w:type="dxa"/>
          </w:tcPr>
          <w:p w14:paraId="00AEBC41" w14:textId="77777777" w:rsidR="00447235" w:rsidRPr="0045503F" w:rsidRDefault="00447235" w:rsidP="006641A6">
            <w:pPr>
              <w:spacing w:after="0"/>
              <w:jc w:val="both"/>
            </w:pPr>
            <w:r w:rsidRPr="0045503F">
              <w:t>PRE (mixture)</w:t>
            </w:r>
          </w:p>
        </w:tc>
        <w:tc>
          <w:tcPr>
            <w:tcW w:w="1842" w:type="dxa"/>
          </w:tcPr>
          <w:p w14:paraId="4A78B4EC" w14:textId="77777777" w:rsidR="00447235" w:rsidRPr="0045503F" w:rsidRDefault="00447235" w:rsidP="006641A6">
            <w:pPr>
              <w:spacing w:after="0"/>
              <w:jc w:val="both"/>
            </w:pPr>
            <w:r w:rsidRPr="0045503F">
              <w:t>100 + 1500</w:t>
            </w:r>
          </w:p>
        </w:tc>
        <w:tc>
          <w:tcPr>
            <w:tcW w:w="1417" w:type="dxa"/>
          </w:tcPr>
          <w:p w14:paraId="13C19B21" w14:textId="77777777" w:rsidR="00447235" w:rsidRPr="0045503F" w:rsidRDefault="00447235" w:rsidP="006641A6">
            <w:pPr>
              <w:spacing w:after="0"/>
              <w:jc w:val="both"/>
            </w:pPr>
            <w:r w:rsidRPr="0045503F">
              <w:t>0.0 (0.0)</w:t>
            </w:r>
          </w:p>
        </w:tc>
      </w:tr>
      <w:tr w:rsidR="00447235" w:rsidRPr="007C2BB9" w14:paraId="35ECCB36" w14:textId="77777777" w:rsidTr="00E73A21">
        <w:trPr>
          <w:trHeight w:val="190"/>
          <w:jc w:val="center"/>
        </w:trPr>
        <w:tc>
          <w:tcPr>
            <w:tcW w:w="4395" w:type="dxa"/>
          </w:tcPr>
          <w:p w14:paraId="26718B2A" w14:textId="77777777" w:rsidR="00447235" w:rsidRPr="0045503F" w:rsidRDefault="00447235" w:rsidP="006641A6">
            <w:pPr>
              <w:spacing w:after="0"/>
              <w:jc w:val="both"/>
            </w:pPr>
          </w:p>
        </w:tc>
        <w:tc>
          <w:tcPr>
            <w:tcW w:w="1134" w:type="dxa"/>
          </w:tcPr>
          <w:p w14:paraId="6CF48586" w14:textId="77777777" w:rsidR="00447235" w:rsidRPr="0045503F" w:rsidRDefault="00447235" w:rsidP="006641A6">
            <w:pPr>
              <w:spacing w:after="0"/>
              <w:jc w:val="both"/>
            </w:pPr>
          </w:p>
        </w:tc>
        <w:tc>
          <w:tcPr>
            <w:tcW w:w="2268" w:type="dxa"/>
          </w:tcPr>
          <w:p w14:paraId="7BB35984" w14:textId="77777777" w:rsidR="00447235" w:rsidRPr="0045503F" w:rsidRDefault="00447235" w:rsidP="006641A6">
            <w:pPr>
              <w:spacing w:after="0"/>
              <w:jc w:val="both"/>
            </w:pPr>
          </w:p>
        </w:tc>
        <w:tc>
          <w:tcPr>
            <w:tcW w:w="1842" w:type="dxa"/>
          </w:tcPr>
          <w:p w14:paraId="2A7E1644" w14:textId="77777777" w:rsidR="00447235" w:rsidRPr="0045503F" w:rsidRDefault="00447235" w:rsidP="006641A6">
            <w:pPr>
              <w:spacing w:after="0"/>
              <w:jc w:val="both"/>
            </w:pPr>
          </w:p>
        </w:tc>
        <w:tc>
          <w:tcPr>
            <w:tcW w:w="1417" w:type="dxa"/>
          </w:tcPr>
          <w:p w14:paraId="4228E52D" w14:textId="77777777" w:rsidR="00447235" w:rsidRPr="0045503F" w:rsidRDefault="00447235" w:rsidP="006641A6">
            <w:pPr>
              <w:spacing w:after="0"/>
              <w:jc w:val="both"/>
            </w:pPr>
          </w:p>
        </w:tc>
      </w:tr>
      <w:tr w:rsidR="00447235" w:rsidRPr="007C2BB9" w14:paraId="1489F21B" w14:textId="77777777" w:rsidTr="00E73A21">
        <w:trPr>
          <w:trHeight w:val="190"/>
          <w:jc w:val="center"/>
        </w:trPr>
        <w:tc>
          <w:tcPr>
            <w:tcW w:w="4395" w:type="dxa"/>
          </w:tcPr>
          <w:p w14:paraId="583CA49E" w14:textId="77777777" w:rsidR="00447235" w:rsidRPr="0045503F" w:rsidRDefault="00447235" w:rsidP="006641A6">
            <w:pPr>
              <w:spacing w:after="0"/>
              <w:jc w:val="both"/>
            </w:pPr>
            <w:proofErr w:type="spellStart"/>
            <w:r w:rsidRPr="0045503F">
              <w:t>Cinmethylin</w:t>
            </w:r>
            <w:proofErr w:type="spellEnd"/>
          </w:p>
        </w:tc>
        <w:tc>
          <w:tcPr>
            <w:tcW w:w="1134" w:type="dxa"/>
          </w:tcPr>
          <w:p w14:paraId="29841E9C" w14:textId="77777777" w:rsidR="00447235" w:rsidRPr="0045503F" w:rsidRDefault="00447235" w:rsidP="006641A6">
            <w:pPr>
              <w:spacing w:after="0"/>
              <w:jc w:val="both"/>
            </w:pPr>
            <w:r w:rsidRPr="0045503F">
              <w:t>Z</w:t>
            </w:r>
          </w:p>
        </w:tc>
        <w:tc>
          <w:tcPr>
            <w:tcW w:w="2268" w:type="dxa"/>
          </w:tcPr>
          <w:p w14:paraId="4C971F03" w14:textId="77777777" w:rsidR="00447235" w:rsidRPr="0045503F" w:rsidRDefault="00447235" w:rsidP="006641A6">
            <w:pPr>
              <w:spacing w:after="0"/>
              <w:jc w:val="both"/>
            </w:pPr>
            <w:r w:rsidRPr="0045503F">
              <w:t>PRE (new)</w:t>
            </w:r>
          </w:p>
        </w:tc>
        <w:tc>
          <w:tcPr>
            <w:tcW w:w="1842" w:type="dxa"/>
          </w:tcPr>
          <w:p w14:paraId="5C8D95D9" w14:textId="77777777" w:rsidR="00447235" w:rsidRPr="0045503F" w:rsidRDefault="00447235" w:rsidP="006641A6">
            <w:pPr>
              <w:spacing w:after="0"/>
              <w:jc w:val="both"/>
            </w:pPr>
            <w:r w:rsidRPr="0045503F">
              <w:t>375</w:t>
            </w:r>
          </w:p>
        </w:tc>
        <w:tc>
          <w:tcPr>
            <w:tcW w:w="1417" w:type="dxa"/>
          </w:tcPr>
          <w:p w14:paraId="3EBA84EB" w14:textId="77777777" w:rsidR="00447235" w:rsidRPr="0045503F" w:rsidRDefault="00447235" w:rsidP="006641A6">
            <w:pPr>
              <w:spacing w:after="0"/>
              <w:jc w:val="both"/>
            </w:pPr>
            <w:r w:rsidRPr="0045503F">
              <w:t>2.6 (0.2)</w:t>
            </w:r>
          </w:p>
        </w:tc>
      </w:tr>
      <w:tr w:rsidR="00447235" w:rsidRPr="007C2BB9" w14:paraId="63326D05" w14:textId="77777777" w:rsidTr="00E73A21">
        <w:trPr>
          <w:trHeight w:val="190"/>
          <w:jc w:val="center"/>
        </w:trPr>
        <w:tc>
          <w:tcPr>
            <w:tcW w:w="4395" w:type="dxa"/>
          </w:tcPr>
          <w:p w14:paraId="0B19BB45" w14:textId="77777777" w:rsidR="00447235" w:rsidRPr="0045503F" w:rsidRDefault="00447235" w:rsidP="006641A6">
            <w:pPr>
              <w:spacing w:after="0"/>
              <w:jc w:val="both"/>
            </w:pPr>
            <w:proofErr w:type="spellStart"/>
            <w:r w:rsidRPr="0045503F">
              <w:t>Cinmethylin</w:t>
            </w:r>
            <w:proofErr w:type="spellEnd"/>
            <w:r w:rsidRPr="0045503F">
              <w:t xml:space="preserve"> + trifluralin </w:t>
            </w:r>
          </w:p>
        </w:tc>
        <w:tc>
          <w:tcPr>
            <w:tcW w:w="1134" w:type="dxa"/>
          </w:tcPr>
          <w:p w14:paraId="75320826" w14:textId="77777777" w:rsidR="00447235" w:rsidRPr="0045503F" w:rsidRDefault="00447235" w:rsidP="006641A6">
            <w:pPr>
              <w:spacing w:after="0"/>
              <w:jc w:val="both"/>
            </w:pPr>
            <w:r w:rsidRPr="0045503F">
              <w:t>Z + D</w:t>
            </w:r>
          </w:p>
        </w:tc>
        <w:tc>
          <w:tcPr>
            <w:tcW w:w="2268" w:type="dxa"/>
          </w:tcPr>
          <w:p w14:paraId="1B6FA1F4" w14:textId="77777777" w:rsidR="00447235" w:rsidRPr="0045503F" w:rsidRDefault="00447235" w:rsidP="006641A6">
            <w:pPr>
              <w:spacing w:after="0"/>
              <w:jc w:val="both"/>
            </w:pPr>
            <w:r w:rsidRPr="0045503F">
              <w:t>PRE (new mixture)</w:t>
            </w:r>
          </w:p>
        </w:tc>
        <w:tc>
          <w:tcPr>
            <w:tcW w:w="1842" w:type="dxa"/>
          </w:tcPr>
          <w:p w14:paraId="24A4C2C4" w14:textId="77777777" w:rsidR="00447235" w:rsidRPr="0045503F" w:rsidRDefault="00346968" w:rsidP="006641A6">
            <w:pPr>
              <w:spacing w:after="0"/>
              <w:jc w:val="both"/>
            </w:pPr>
            <w:r>
              <w:t>375 + 720</w:t>
            </w:r>
          </w:p>
        </w:tc>
        <w:tc>
          <w:tcPr>
            <w:tcW w:w="1417" w:type="dxa"/>
          </w:tcPr>
          <w:p w14:paraId="5FD0AAB9" w14:textId="77777777" w:rsidR="00447235" w:rsidRPr="0045503F" w:rsidRDefault="00346968" w:rsidP="006641A6">
            <w:pPr>
              <w:spacing w:after="0"/>
              <w:jc w:val="both"/>
            </w:pPr>
            <w:r>
              <w:t>**</w:t>
            </w:r>
          </w:p>
        </w:tc>
      </w:tr>
      <w:tr w:rsidR="00447235" w:rsidRPr="007C2BB9" w14:paraId="5A0347FE" w14:textId="77777777" w:rsidTr="00E73A21">
        <w:trPr>
          <w:trHeight w:val="190"/>
          <w:jc w:val="center"/>
        </w:trPr>
        <w:tc>
          <w:tcPr>
            <w:tcW w:w="4395" w:type="dxa"/>
          </w:tcPr>
          <w:p w14:paraId="208D55A6" w14:textId="77777777" w:rsidR="00447235" w:rsidRPr="0045503F" w:rsidRDefault="00447235" w:rsidP="006641A6">
            <w:pPr>
              <w:spacing w:after="0"/>
              <w:jc w:val="both"/>
            </w:pPr>
          </w:p>
        </w:tc>
        <w:tc>
          <w:tcPr>
            <w:tcW w:w="1134" w:type="dxa"/>
          </w:tcPr>
          <w:p w14:paraId="691B8C4E" w14:textId="77777777" w:rsidR="00447235" w:rsidRPr="0045503F" w:rsidRDefault="00447235" w:rsidP="006641A6">
            <w:pPr>
              <w:spacing w:after="0"/>
              <w:jc w:val="both"/>
            </w:pPr>
          </w:p>
        </w:tc>
        <w:tc>
          <w:tcPr>
            <w:tcW w:w="2268" w:type="dxa"/>
          </w:tcPr>
          <w:p w14:paraId="60E285B8" w14:textId="77777777" w:rsidR="00447235" w:rsidRPr="0045503F" w:rsidRDefault="00447235" w:rsidP="006641A6">
            <w:pPr>
              <w:spacing w:after="0"/>
              <w:jc w:val="both"/>
            </w:pPr>
          </w:p>
        </w:tc>
        <w:tc>
          <w:tcPr>
            <w:tcW w:w="1842" w:type="dxa"/>
          </w:tcPr>
          <w:p w14:paraId="6D30C792" w14:textId="77777777" w:rsidR="00447235" w:rsidRPr="0045503F" w:rsidRDefault="00447235" w:rsidP="006641A6">
            <w:pPr>
              <w:spacing w:after="0"/>
              <w:jc w:val="both"/>
            </w:pPr>
          </w:p>
        </w:tc>
        <w:tc>
          <w:tcPr>
            <w:tcW w:w="1417" w:type="dxa"/>
          </w:tcPr>
          <w:p w14:paraId="0365232E" w14:textId="77777777" w:rsidR="00447235" w:rsidRPr="0045503F" w:rsidRDefault="00447235" w:rsidP="006641A6">
            <w:pPr>
              <w:spacing w:after="0"/>
              <w:jc w:val="both"/>
            </w:pPr>
          </w:p>
        </w:tc>
      </w:tr>
      <w:tr w:rsidR="00447235" w:rsidRPr="007C2BB9" w14:paraId="1E4C740F" w14:textId="77777777" w:rsidTr="00B93F44">
        <w:trPr>
          <w:trHeight w:val="190"/>
          <w:jc w:val="center"/>
        </w:trPr>
        <w:tc>
          <w:tcPr>
            <w:tcW w:w="11056" w:type="dxa"/>
            <w:gridSpan w:val="5"/>
          </w:tcPr>
          <w:p w14:paraId="4AEDC286" w14:textId="77777777" w:rsidR="00447235" w:rsidRPr="0045503F" w:rsidRDefault="00447235" w:rsidP="006641A6">
            <w:pPr>
              <w:spacing w:after="0"/>
              <w:jc w:val="center"/>
              <w:rPr>
                <w:b/>
              </w:rPr>
            </w:pPr>
            <w:r w:rsidRPr="0045503F">
              <w:rPr>
                <w:b/>
              </w:rPr>
              <w:t>Wild radish</w:t>
            </w:r>
          </w:p>
        </w:tc>
      </w:tr>
      <w:tr w:rsidR="00447235" w:rsidRPr="007C2BB9" w14:paraId="7B5F7EFB" w14:textId="77777777" w:rsidTr="00E73A21">
        <w:trPr>
          <w:trHeight w:val="190"/>
          <w:jc w:val="center"/>
        </w:trPr>
        <w:tc>
          <w:tcPr>
            <w:tcW w:w="4395" w:type="dxa"/>
          </w:tcPr>
          <w:p w14:paraId="760D3412" w14:textId="77777777" w:rsidR="00447235" w:rsidRPr="0045503F" w:rsidRDefault="00447235" w:rsidP="006641A6">
            <w:pPr>
              <w:spacing w:after="0"/>
              <w:jc w:val="both"/>
            </w:pPr>
            <w:proofErr w:type="spellStart"/>
            <w:r w:rsidRPr="0045503F">
              <w:t>Mesotrione</w:t>
            </w:r>
            <w:proofErr w:type="spellEnd"/>
            <w:r w:rsidRPr="0045503F">
              <w:t xml:space="preserve"> (480g/L)</w:t>
            </w:r>
          </w:p>
        </w:tc>
        <w:tc>
          <w:tcPr>
            <w:tcW w:w="1134" w:type="dxa"/>
          </w:tcPr>
          <w:p w14:paraId="73938175" w14:textId="77777777" w:rsidR="00447235" w:rsidRPr="0045503F" w:rsidRDefault="00447235" w:rsidP="006641A6">
            <w:pPr>
              <w:spacing w:after="0"/>
              <w:jc w:val="both"/>
            </w:pPr>
            <w:r w:rsidRPr="0045503F">
              <w:t>H</w:t>
            </w:r>
          </w:p>
        </w:tc>
        <w:tc>
          <w:tcPr>
            <w:tcW w:w="2268" w:type="dxa"/>
          </w:tcPr>
          <w:p w14:paraId="7CDA6D7F" w14:textId="77777777" w:rsidR="00447235" w:rsidRPr="0045503F" w:rsidRDefault="00447235" w:rsidP="006641A6">
            <w:pPr>
              <w:spacing w:after="0"/>
              <w:jc w:val="both"/>
            </w:pPr>
            <w:r w:rsidRPr="0045503F">
              <w:t>PRE (new)</w:t>
            </w:r>
          </w:p>
        </w:tc>
        <w:tc>
          <w:tcPr>
            <w:tcW w:w="1842" w:type="dxa"/>
          </w:tcPr>
          <w:p w14:paraId="62A7950D" w14:textId="77777777" w:rsidR="00447235" w:rsidRPr="0045503F" w:rsidRDefault="00346968" w:rsidP="006641A6">
            <w:pPr>
              <w:spacing w:after="0"/>
              <w:jc w:val="both"/>
            </w:pPr>
            <w:r>
              <w:t>96</w:t>
            </w:r>
          </w:p>
        </w:tc>
        <w:tc>
          <w:tcPr>
            <w:tcW w:w="1417" w:type="dxa"/>
          </w:tcPr>
          <w:p w14:paraId="520DED90" w14:textId="77777777" w:rsidR="00447235" w:rsidRPr="0045503F" w:rsidRDefault="00346968" w:rsidP="006641A6">
            <w:pPr>
              <w:spacing w:after="0"/>
              <w:jc w:val="both"/>
            </w:pPr>
            <w:r>
              <w:t>**</w:t>
            </w:r>
          </w:p>
        </w:tc>
      </w:tr>
      <w:tr w:rsidR="00447235" w:rsidRPr="007C2BB9" w14:paraId="4004F196" w14:textId="77777777" w:rsidTr="00E73A21">
        <w:trPr>
          <w:trHeight w:val="190"/>
          <w:jc w:val="center"/>
        </w:trPr>
        <w:tc>
          <w:tcPr>
            <w:tcW w:w="4395" w:type="dxa"/>
          </w:tcPr>
          <w:p w14:paraId="199762F0" w14:textId="77777777" w:rsidR="00447235" w:rsidRPr="0045503F" w:rsidRDefault="00447235" w:rsidP="006641A6">
            <w:pPr>
              <w:spacing w:after="0"/>
              <w:jc w:val="both"/>
            </w:pPr>
            <w:r w:rsidRPr="0045503F">
              <w:t>Topramezone (60g/L) + MCPA LVE (570g/L)</w:t>
            </w:r>
          </w:p>
        </w:tc>
        <w:tc>
          <w:tcPr>
            <w:tcW w:w="1134" w:type="dxa"/>
          </w:tcPr>
          <w:p w14:paraId="5FBB5F7C" w14:textId="77777777" w:rsidR="00447235" w:rsidRPr="0045503F" w:rsidRDefault="00447235" w:rsidP="006641A6">
            <w:pPr>
              <w:spacing w:after="0"/>
              <w:jc w:val="both"/>
            </w:pPr>
            <w:r w:rsidRPr="0045503F">
              <w:t>H + I</w:t>
            </w:r>
          </w:p>
        </w:tc>
        <w:tc>
          <w:tcPr>
            <w:tcW w:w="2268" w:type="dxa"/>
          </w:tcPr>
          <w:p w14:paraId="324B1122" w14:textId="77777777" w:rsidR="00447235" w:rsidRPr="0045503F" w:rsidRDefault="00447235" w:rsidP="006641A6">
            <w:pPr>
              <w:spacing w:after="0"/>
              <w:jc w:val="both"/>
            </w:pPr>
            <w:r w:rsidRPr="0045503F">
              <w:t>POST (new mixture)</w:t>
            </w:r>
          </w:p>
        </w:tc>
        <w:tc>
          <w:tcPr>
            <w:tcW w:w="1842" w:type="dxa"/>
          </w:tcPr>
          <w:p w14:paraId="04DD0D36" w14:textId="77777777" w:rsidR="00447235" w:rsidRPr="0045503F" w:rsidRDefault="00447235" w:rsidP="006641A6">
            <w:pPr>
              <w:spacing w:after="0"/>
              <w:jc w:val="both"/>
            </w:pPr>
            <w:r w:rsidRPr="0045503F">
              <w:t>12 + 285</w:t>
            </w:r>
          </w:p>
        </w:tc>
        <w:tc>
          <w:tcPr>
            <w:tcW w:w="1417" w:type="dxa"/>
          </w:tcPr>
          <w:p w14:paraId="2F508B83" w14:textId="77777777" w:rsidR="00447235" w:rsidRPr="0045503F" w:rsidRDefault="00346968" w:rsidP="006641A6">
            <w:pPr>
              <w:spacing w:after="0"/>
              <w:jc w:val="both"/>
            </w:pPr>
            <w:r>
              <w:t>**</w:t>
            </w:r>
          </w:p>
        </w:tc>
      </w:tr>
      <w:tr w:rsidR="00447235" w:rsidRPr="007C2BB9" w14:paraId="5BEB1E8B" w14:textId="77777777" w:rsidTr="00E73A21">
        <w:trPr>
          <w:trHeight w:val="190"/>
          <w:jc w:val="center"/>
        </w:trPr>
        <w:tc>
          <w:tcPr>
            <w:tcW w:w="4395" w:type="dxa"/>
            <w:tcBorders>
              <w:bottom w:val="single" w:sz="4" w:space="0" w:color="auto"/>
            </w:tcBorders>
          </w:tcPr>
          <w:p w14:paraId="18B4EEE5" w14:textId="77777777" w:rsidR="00447235" w:rsidRPr="0045503F" w:rsidRDefault="00447235" w:rsidP="006641A6">
            <w:pPr>
              <w:spacing w:after="0"/>
              <w:jc w:val="both"/>
            </w:pPr>
            <w:proofErr w:type="spellStart"/>
            <w:r w:rsidRPr="0045503F">
              <w:t>Pyrasulfotole</w:t>
            </w:r>
            <w:proofErr w:type="spellEnd"/>
            <w:r w:rsidRPr="0045503F">
              <w:t xml:space="preserve"> (37.5g/L) + Bromoxynil (210g/L)</w:t>
            </w:r>
          </w:p>
        </w:tc>
        <w:tc>
          <w:tcPr>
            <w:tcW w:w="1134" w:type="dxa"/>
            <w:tcBorders>
              <w:bottom w:val="single" w:sz="4" w:space="0" w:color="auto"/>
            </w:tcBorders>
          </w:tcPr>
          <w:p w14:paraId="703D9424" w14:textId="77777777" w:rsidR="00447235" w:rsidRPr="0045503F" w:rsidRDefault="00447235" w:rsidP="006641A6">
            <w:pPr>
              <w:spacing w:after="0"/>
              <w:jc w:val="both"/>
            </w:pPr>
            <w:r w:rsidRPr="0045503F">
              <w:t>H + C</w:t>
            </w:r>
          </w:p>
        </w:tc>
        <w:tc>
          <w:tcPr>
            <w:tcW w:w="2268" w:type="dxa"/>
            <w:tcBorders>
              <w:bottom w:val="single" w:sz="4" w:space="0" w:color="auto"/>
            </w:tcBorders>
          </w:tcPr>
          <w:p w14:paraId="056917D3" w14:textId="77777777" w:rsidR="00447235" w:rsidRPr="0045503F" w:rsidRDefault="00447235" w:rsidP="006641A6">
            <w:pPr>
              <w:spacing w:after="0"/>
              <w:jc w:val="both"/>
            </w:pPr>
            <w:r w:rsidRPr="0045503F">
              <w:t>POST (mixture)</w:t>
            </w:r>
          </w:p>
        </w:tc>
        <w:tc>
          <w:tcPr>
            <w:tcW w:w="1842" w:type="dxa"/>
            <w:tcBorders>
              <w:bottom w:val="single" w:sz="4" w:space="0" w:color="auto"/>
            </w:tcBorders>
          </w:tcPr>
          <w:p w14:paraId="2BC3BF1D" w14:textId="77777777" w:rsidR="00447235" w:rsidRPr="0045503F" w:rsidRDefault="00346968" w:rsidP="006641A6">
            <w:pPr>
              <w:spacing w:after="0"/>
              <w:jc w:val="both"/>
            </w:pPr>
            <w:r>
              <w:t>19 + 105</w:t>
            </w:r>
          </w:p>
        </w:tc>
        <w:tc>
          <w:tcPr>
            <w:tcW w:w="1417" w:type="dxa"/>
            <w:tcBorders>
              <w:bottom w:val="single" w:sz="4" w:space="0" w:color="auto"/>
            </w:tcBorders>
          </w:tcPr>
          <w:p w14:paraId="0F877DA0" w14:textId="77777777" w:rsidR="00447235" w:rsidRPr="0045503F" w:rsidRDefault="00346968" w:rsidP="006641A6">
            <w:pPr>
              <w:spacing w:after="0"/>
              <w:ind w:left="-234" w:firstLine="234"/>
              <w:jc w:val="both"/>
            </w:pPr>
            <w:r>
              <w:t>**</w:t>
            </w:r>
          </w:p>
        </w:tc>
      </w:tr>
    </w:tbl>
    <w:p w14:paraId="65FF95E8" w14:textId="77777777" w:rsidR="00447235" w:rsidRPr="006641A6" w:rsidRDefault="00D906B3" w:rsidP="006641A6">
      <w:pPr>
        <w:jc w:val="both"/>
        <w:rPr>
          <w:sz w:val="18"/>
          <w:szCs w:val="18"/>
        </w:rPr>
      </w:pPr>
      <w:r w:rsidRPr="006641A6">
        <w:rPr>
          <w:sz w:val="18"/>
          <w:szCs w:val="18"/>
        </w:rPr>
        <w:t>** Data</w:t>
      </w:r>
      <w:r w:rsidR="00447235" w:rsidRPr="006641A6">
        <w:rPr>
          <w:sz w:val="18"/>
          <w:szCs w:val="18"/>
        </w:rPr>
        <w:t xml:space="preserve"> not shown in this manuscript but will be presented orally at the “Updates”.</w:t>
      </w:r>
    </w:p>
    <w:p w14:paraId="1926D633" w14:textId="77777777" w:rsidR="00965334" w:rsidRDefault="00965334" w:rsidP="006641A6">
      <w:pPr>
        <w:spacing w:after="0" w:line="240" w:lineRule="auto"/>
        <w:rPr>
          <w:rFonts w:asciiTheme="minorHAnsi" w:hAnsiTheme="minorHAnsi" w:cstheme="minorHAnsi"/>
          <w:b/>
        </w:rPr>
      </w:pPr>
      <w:r>
        <w:rPr>
          <w:rFonts w:asciiTheme="minorHAnsi" w:hAnsiTheme="minorHAnsi" w:cstheme="minorHAnsi"/>
          <w:b/>
        </w:rPr>
        <w:br w:type="page"/>
      </w:r>
    </w:p>
    <w:p w14:paraId="01F4321B" w14:textId="77777777" w:rsidR="00965334" w:rsidRPr="00691986" w:rsidRDefault="00206F32" w:rsidP="006641A6">
      <w:pPr>
        <w:pStyle w:val="Heading2"/>
      </w:pPr>
      <w:r>
        <w:lastRenderedPageBreak/>
        <w:t>Results</w:t>
      </w:r>
    </w:p>
    <w:p w14:paraId="1032E58B" w14:textId="77777777" w:rsidR="00447235" w:rsidRPr="00093B53" w:rsidRDefault="00447235" w:rsidP="006641A6">
      <w:pPr>
        <w:pStyle w:val="Heading3"/>
      </w:pPr>
      <w:bookmarkStart w:id="1" w:name="_Hlk506547101"/>
      <w:r w:rsidRPr="00093B53">
        <w:t>Annual ryegrass</w:t>
      </w:r>
    </w:p>
    <w:p w14:paraId="0B9CADAA" w14:textId="77777777" w:rsidR="00965334" w:rsidRPr="000321B8" w:rsidRDefault="00965334" w:rsidP="006641A6">
      <w:pPr>
        <w:jc w:val="both"/>
      </w:pPr>
      <w:r w:rsidRPr="000321B8">
        <w:t>Overall, there was 15% plant survival to the POST herbicides tested, which indicates substantial herbicide resistance in a large proportion of samples, whereas the mean survival to PRE</w:t>
      </w:r>
      <w:r w:rsidR="00636999">
        <w:t>-</w:t>
      </w:r>
      <w:r w:rsidRPr="000321B8">
        <w:t xml:space="preserve">herbicides was only 2%, reflecting effective control of the majority of annual ryegrass field populations tested.  </w:t>
      </w:r>
    </w:p>
    <w:p w14:paraId="14BF04AA" w14:textId="77777777" w:rsidR="00965334" w:rsidRPr="00093B53" w:rsidRDefault="00965334" w:rsidP="006641A6">
      <w:pPr>
        <w:pStyle w:val="Heading3"/>
      </w:pPr>
      <w:r w:rsidRPr="00093B53">
        <w:t>Post-emergence herbicides (POST)</w:t>
      </w:r>
    </w:p>
    <w:p w14:paraId="7F22A02E" w14:textId="77777777" w:rsidR="00965334" w:rsidRPr="000321B8" w:rsidRDefault="00965334" w:rsidP="006641A6">
      <w:pPr>
        <w:jc w:val="both"/>
      </w:pPr>
      <w:r w:rsidRPr="000321B8">
        <w:t xml:space="preserve">As expected and reported in several random herbicide resistance surveys of annual ryegrass in Western Australia, resistance frequency to </w:t>
      </w:r>
      <w:proofErr w:type="spellStart"/>
      <w:r w:rsidRPr="000321B8">
        <w:t>diclofop</w:t>
      </w:r>
      <w:proofErr w:type="spellEnd"/>
      <w:r w:rsidRPr="000321B8">
        <w:t xml:space="preserve">-methyl was high, with &gt;90% samples tested classified as resistant with mean plant survival &gt;40% observed in the samples tested (Figure 1).  </w:t>
      </w:r>
      <w:r w:rsidR="00E0676A">
        <w:t>About</w:t>
      </w:r>
      <w:r w:rsidR="00E0676A" w:rsidRPr="000321B8">
        <w:t xml:space="preserve"> </w:t>
      </w:r>
      <w:r w:rsidRPr="000321B8">
        <w:t xml:space="preserve">60% of the tested samples were clethodim-resistant and the overall frequencies of resistance and developing resistance were significantly lower than </w:t>
      </w:r>
      <w:proofErr w:type="spellStart"/>
      <w:r w:rsidRPr="000321B8">
        <w:t>diclofop</w:t>
      </w:r>
      <w:proofErr w:type="spellEnd"/>
      <w:r w:rsidRPr="000321B8">
        <w:t xml:space="preserve">-methyl (Table 2). Overall, the mean survival observed across all tested samples was 12% (Figure 1). With </w:t>
      </w:r>
      <w:proofErr w:type="spellStart"/>
      <w:r w:rsidRPr="000321B8">
        <w:t>butroxydim</w:t>
      </w:r>
      <w:proofErr w:type="spellEnd"/>
      <w:r w:rsidRPr="000321B8">
        <w:t>, there was a similar frequency of developing resistance but significantly lower frequency of resistan</w:t>
      </w:r>
      <w:r w:rsidR="00E0676A">
        <w:t>t</w:t>
      </w:r>
      <w:r w:rsidRPr="000321B8">
        <w:t xml:space="preserve"> samples (Table 2). Similarly, the mean survival observed was 6%, which was statistically lower than the plant survival in response to clethodim (Figure 1). </w:t>
      </w:r>
      <w:r w:rsidR="00E0676A">
        <w:t>S</w:t>
      </w:r>
      <w:r w:rsidRPr="000321B8">
        <w:t xml:space="preserve">urvival to the mixture of clethodim + </w:t>
      </w:r>
      <w:proofErr w:type="spellStart"/>
      <w:r w:rsidRPr="000321B8">
        <w:t>butroxydim</w:t>
      </w:r>
      <w:proofErr w:type="spellEnd"/>
      <w:r w:rsidRPr="000321B8">
        <w:t xml:space="preserve"> was the lowest (approx. 2%) but not significantly lower than survival to </w:t>
      </w:r>
      <w:proofErr w:type="spellStart"/>
      <w:r w:rsidRPr="000321B8">
        <w:t>butroxydim</w:t>
      </w:r>
      <w:proofErr w:type="spellEnd"/>
      <w:r w:rsidRPr="000321B8">
        <w:t xml:space="preserve">. Conversely, the proportion of samples classified as developing resistance or resistant in response to the mixture clethodim + </w:t>
      </w:r>
      <w:proofErr w:type="spellStart"/>
      <w:r w:rsidRPr="000321B8">
        <w:t>butroxydim</w:t>
      </w:r>
      <w:proofErr w:type="spellEnd"/>
      <w:r w:rsidRPr="000321B8">
        <w:t xml:space="preserve"> </w:t>
      </w:r>
      <w:r w:rsidR="00E0676A">
        <w:t>was</w:t>
      </w:r>
      <w:r w:rsidR="00E0676A" w:rsidRPr="000321B8">
        <w:t xml:space="preserve"> </w:t>
      </w:r>
      <w:r w:rsidRPr="000321B8">
        <w:t>significantly lower than in response to stand-alone application of either herbicide (Table 2</w:t>
      </w:r>
      <w:bookmarkEnd w:id="1"/>
      <w:r w:rsidRPr="000321B8">
        <w:t>).</w:t>
      </w:r>
    </w:p>
    <w:p w14:paraId="6E680E47" w14:textId="77777777" w:rsidR="00965334" w:rsidRPr="00093B53" w:rsidRDefault="00965334" w:rsidP="006641A6">
      <w:pPr>
        <w:pStyle w:val="Heading3"/>
      </w:pPr>
      <w:r w:rsidRPr="00093B53">
        <w:t>Pre-emergence herbicides (PRE)</w:t>
      </w:r>
    </w:p>
    <w:p w14:paraId="28F8A684" w14:textId="77777777" w:rsidR="00965334" w:rsidRPr="000321B8" w:rsidRDefault="0010096C" w:rsidP="006641A6">
      <w:pPr>
        <w:jc w:val="both"/>
      </w:pPr>
      <w:r w:rsidRPr="0010096C">
        <w:t>The mean survival to trifluralin was significantly greater than all other PRE</w:t>
      </w:r>
      <w:r w:rsidR="00E0676A">
        <w:t>-</w:t>
      </w:r>
      <w:r w:rsidRPr="0010096C">
        <w:t xml:space="preserve">herbicide treatments tested and ranged widely from 0% up to </w:t>
      </w:r>
      <w:r w:rsidR="00E0676A">
        <w:t>about</w:t>
      </w:r>
      <w:r w:rsidR="00E0676A" w:rsidRPr="0010096C">
        <w:t xml:space="preserve"> </w:t>
      </w:r>
      <w:r w:rsidRPr="0010096C">
        <w:t xml:space="preserve">90% in a few samples (Figure 2). Similarly, trifluralin resistance was found in &gt;50% of the samples (Table 3). Survival to </w:t>
      </w:r>
      <w:proofErr w:type="spellStart"/>
      <w:r w:rsidRPr="0010096C">
        <w:t>prosulfocarb</w:t>
      </w:r>
      <w:proofErr w:type="spellEnd"/>
      <w:r w:rsidRPr="0010096C">
        <w:t xml:space="preserve"> was significantly lower than trifluralin, but greater than all other </w:t>
      </w:r>
      <w:proofErr w:type="spellStart"/>
      <w:r w:rsidRPr="0010096C">
        <w:t>PRE</w:t>
      </w:r>
      <w:r w:rsidR="00636999">
        <w:t>-</w:t>
      </w:r>
      <w:r w:rsidRPr="0010096C">
        <w:t>treatments</w:t>
      </w:r>
      <w:proofErr w:type="spellEnd"/>
      <w:r w:rsidRPr="0010096C">
        <w:t xml:space="preserve"> expect for </w:t>
      </w:r>
      <w:proofErr w:type="spellStart"/>
      <w:r w:rsidRPr="0010096C">
        <w:t>cinmethylin</w:t>
      </w:r>
      <w:proofErr w:type="spellEnd"/>
      <w:r w:rsidRPr="0010096C">
        <w:t xml:space="preserve"> (Figure 2). There was a similar frequency of developing resistance to </w:t>
      </w:r>
      <w:proofErr w:type="spellStart"/>
      <w:r w:rsidRPr="0010096C">
        <w:t>prosulfocarb</w:t>
      </w:r>
      <w:proofErr w:type="spellEnd"/>
      <w:r w:rsidRPr="0010096C">
        <w:t xml:space="preserve"> and trifluralin, which was significantly higher than all other tested herbicides (Table 3). The observed mean plant survival to all other herbicide treatments was similarly low, including stand-alone and binary mixtures (Figure 2). There were no highly resistant samples to several PRE</w:t>
      </w:r>
      <w:r w:rsidR="00636999">
        <w:t>-</w:t>
      </w:r>
      <w:r w:rsidRPr="0010096C">
        <w:t xml:space="preserve">herbicides except for </w:t>
      </w:r>
      <w:proofErr w:type="spellStart"/>
      <w:r w:rsidR="00E0676A" w:rsidRPr="0010096C">
        <w:t>prosulfocarb</w:t>
      </w:r>
      <w:proofErr w:type="spellEnd"/>
      <w:r w:rsidR="00E0676A" w:rsidRPr="0010096C">
        <w:t xml:space="preserve"> </w:t>
      </w:r>
      <w:r w:rsidR="00E0676A">
        <w:t>(</w:t>
      </w:r>
      <w:r w:rsidRPr="0010096C">
        <w:t>3%</w:t>
      </w:r>
      <w:r w:rsidR="00E0676A">
        <w:t>)</w:t>
      </w:r>
      <w:r w:rsidRPr="0010096C">
        <w:t xml:space="preserve"> and </w:t>
      </w:r>
      <w:r w:rsidR="00E0676A" w:rsidRPr="0010096C">
        <w:t xml:space="preserve">trifluralin </w:t>
      </w:r>
      <w:r w:rsidR="00E0676A">
        <w:t>(</w:t>
      </w:r>
      <w:r w:rsidRPr="0010096C">
        <w:t>17%</w:t>
      </w:r>
      <w:r w:rsidR="00E0676A">
        <w:t>)</w:t>
      </w:r>
      <w:r w:rsidRPr="0010096C">
        <w:t xml:space="preserve"> (Table 3). The frequency of developing resistance was similar in all other treatments except for the mixtures trifluralin + triallate and </w:t>
      </w:r>
      <w:proofErr w:type="spellStart"/>
      <w:r w:rsidRPr="0010096C">
        <w:t>pyroxasulfone</w:t>
      </w:r>
      <w:proofErr w:type="spellEnd"/>
      <w:r w:rsidRPr="0010096C">
        <w:t xml:space="preserve"> + triallate (Table 3). There were no samples found to be resistant to the two highly effective mixtures: trifluralin + triallate and </w:t>
      </w:r>
      <w:proofErr w:type="spellStart"/>
      <w:r w:rsidRPr="0010096C">
        <w:t>pyroxasulfone</w:t>
      </w:r>
      <w:proofErr w:type="spellEnd"/>
      <w:r w:rsidRPr="0010096C">
        <w:t xml:space="preserve"> + triallate (Table 3).</w:t>
      </w:r>
    </w:p>
    <w:p w14:paraId="6618DF02" w14:textId="77777777" w:rsidR="00093B53" w:rsidRPr="006B010C" w:rsidRDefault="00093B53" w:rsidP="006641A6">
      <w:pPr>
        <w:pStyle w:val="Heading3"/>
      </w:pPr>
      <w:r w:rsidRPr="006B010C">
        <w:t>Wild radish</w:t>
      </w:r>
    </w:p>
    <w:p w14:paraId="63302D63" w14:textId="77777777" w:rsidR="00965334" w:rsidRPr="007C2BB9" w:rsidRDefault="00093B53" w:rsidP="006641A6">
      <w:pPr>
        <w:jc w:val="both"/>
        <w:rPr>
          <w:rFonts w:asciiTheme="minorHAnsi" w:hAnsiTheme="minorHAnsi" w:cstheme="minorHAnsi"/>
          <w:b/>
        </w:rPr>
      </w:pPr>
      <w:r w:rsidRPr="000321B8">
        <w:t xml:space="preserve">Low-level cross-resistance to </w:t>
      </w:r>
      <w:r w:rsidR="009A6DDF">
        <w:t xml:space="preserve">the </w:t>
      </w:r>
      <w:r w:rsidRPr="000321B8">
        <w:t>HPPD</w:t>
      </w:r>
      <w:r w:rsidR="009A6DDF">
        <w:t xml:space="preserve"> herbicides </w:t>
      </w:r>
      <w:proofErr w:type="spellStart"/>
      <w:r w:rsidR="009A6DDF">
        <w:t>mesotrione</w:t>
      </w:r>
      <w:proofErr w:type="spellEnd"/>
      <w:r w:rsidR="009A6DDF">
        <w:t xml:space="preserve">, </w:t>
      </w:r>
      <w:proofErr w:type="spellStart"/>
      <w:r w:rsidR="009A6DDF">
        <w:t>tembotrione</w:t>
      </w:r>
      <w:proofErr w:type="spellEnd"/>
      <w:r w:rsidR="009A6DDF">
        <w:t xml:space="preserve"> and </w:t>
      </w:r>
      <w:proofErr w:type="spellStart"/>
      <w:r w:rsidR="009A6DDF">
        <w:t>isoxaflutole</w:t>
      </w:r>
      <w:proofErr w:type="spellEnd"/>
      <w:r w:rsidRPr="000321B8">
        <w:t xml:space="preserve"> has been recently reported in </w:t>
      </w:r>
      <w:r w:rsidR="00A5383F">
        <w:t xml:space="preserve">a field population of </w:t>
      </w:r>
      <w:r w:rsidRPr="000321B8">
        <w:t>wild radish</w:t>
      </w:r>
      <w:r w:rsidR="009A6DDF">
        <w:t xml:space="preserve"> collected in WA</w:t>
      </w:r>
      <w:r w:rsidR="00A5383F">
        <w:t xml:space="preserve"> (data not shown)</w:t>
      </w:r>
      <w:r w:rsidRPr="000321B8">
        <w:t xml:space="preserve">.  </w:t>
      </w:r>
      <w:r w:rsidR="009A6DDF">
        <w:t xml:space="preserve">In another study, repeated selection with a low dose of the </w:t>
      </w:r>
      <w:r w:rsidR="00A5383F">
        <w:t xml:space="preserve">herbicide Velocity </w:t>
      </w:r>
      <w:r w:rsidR="00F00A8F">
        <w:t>(</w:t>
      </w:r>
      <w:proofErr w:type="spellStart"/>
      <w:r w:rsidR="00F00A8F">
        <w:t>pyrasulfotole</w:t>
      </w:r>
      <w:proofErr w:type="spellEnd"/>
      <w:r w:rsidR="00F00A8F">
        <w:t xml:space="preserve"> + bromoxynil) resulted in </w:t>
      </w:r>
      <w:r w:rsidR="009A6DDF">
        <w:t xml:space="preserve">a </w:t>
      </w:r>
      <w:r w:rsidR="00F00A8F">
        <w:t xml:space="preserve">low-level </w:t>
      </w:r>
      <w:r w:rsidR="009A6DDF">
        <w:t xml:space="preserve">of </w:t>
      </w:r>
      <w:r w:rsidR="00F00A8F">
        <w:t xml:space="preserve">cross-resistance to </w:t>
      </w:r>
      <w:proofErr w:type="spellStart"/>
      <w:r w:rsidR="00F00A8F">
        <w:t>mesotrione</w:t>
      </w:r>
      <w:proofErr w:type="spellEnd"/>
      <w:r w:rsidR="00F00A8F">
        <w:t>.  T</w:t>
      </w:r>
      <w:r w:rsidRPr="000321B8">
        <w:t xml:space="preserve">wo new HPPD herbicides </w:t>
      </w:r>
      <w:r w:rsidR="00F00A8F">
        <w:t>(</w:t>
      </w:r>
      <w:proofErr w:type="spellStart"/>
      <w:r w:rsidR="00F00A8F">
        <w:t>mesotrione</w:t>
      </w:r>
      <w:proofErr w:type="spellEnd"/>
      <w:r w:rsidR="00F00A8F">
        <w:t xml:space="preserve"> and topramezone) </w:t>
      </w:r>
      <w:r w:rsidRPr="000321B8">
        <w:t>are available from 2020 for the wheat-selective control of wild radish</w:t>
      </w:r>
      <w:r w:rsidR="00F00A8F">
        <w:t>. In early 2020</w:t>
      </w:r>
      <w:r w:rsidRPr="000321B8">
        <w:t xml:space="preserve"> </w:t>
      </w:r>
      <w:r w:rsidR="00F00A8F">
        <w:t>we screened 100+ field-collected populations of wild radish with three HPPD herbicides</w:t>
      </w:r>
      <w:r w:rsidR="006B010C">
        <w:t xml:space="preserve"> (Table 1)</w:t>
      </w:r>
      <w:r w:rsidR="00F00A8F">
        <w:t xml:space="preserve">.  Efficacy data will be presented to understand </w:t>
      </w:r>
      <w:r w:rsidR="009A6DDF">
        <w:t xml:space="preserve">the current incidence of </w:t>
      </w:r>
      <w:r w:rsidR="00206F32">
        <w:t xml:space="preserve">HPPD resistance </w:t>
      </w:r>
      <w:r w:rsidR="006B010C">
        <w:t xml:space="preserve">in wild radish </w:t>
      </w:r>
      <w:r w:rsidR="009A6DDF">
        <w:t xml:space="preserve">in WA </w:t>
      </w:r>
      <w:r w:rsidR="00E0676A">
        <w:t>before</w:t>
      </w:r>
      <w:r w:rsidR="00206F32">
        <w:t xml:space="preserve"> the start of</w:t>
      </w:r>
      <w:r w:rsidR="006B010C">
        <w:t xml:space="preserve"> the 2020 growing season.</w:t>
      </w:r>
      <w:r w:rsidR="00F00A8F">
        <w:t xml:space="preserve"> </w:t>
      </w:r>
      <w:r w:rsidR="00965334" w:rsidRPr="007C2BB9">
        <w:rPr>
          <w:rFonts w:asciiTheme="minorHAnsi" w:hAnsiTheme="minorHAnsi" w:cstheme="minorHAnsi"/>
          <w:b/>
        </w:rPr>
        <w:br w:type="page"/>
      </w:r>
    </w:p>
    <w:p w14:paraId="4A4A0AC0" w14:textId="77777777" w:rsidR="00965334" w:rsidRPr="007C2BB9" w:rsidRDefault="00965334" w:rsidP="006641A6">
      <w:pPr>
        <w:spacing w:line="360" w:lineRule="auto"/>
        <w:jc w:val="both"/>
        <w:rPr>
          <w:rFonts w:asciiTheme="minorHAnsi" w:hAnsiTheme="minorHAnsi" w:cstheme="minorHAnsi"/>
        </w:rPr>
      </w:pPr>
    </w:p>
    <w:p w14:paraId="158B5526" w14:textId="77777777" w:rsidR="00965334" w:rsidRPr="007C2BB9" w:rsidRDefault="0010096C" w:rsidP="006641A6">
      <w:pPr>
        <w:pStyle w:val="Heading2"/>
        <w:spacing w:line="360" w:lineRule="auto"/>
        <w:rPr>
          <w:rFonts w:asciiTheme="minorHAnsi" w:hAnsiTheme="minorHAnsi" w:cstheme="minorHAnsi"/>
          <w:szCs w:val="22"/>
        </w:rPr>
      </w:pPr>
      <w:r w:rsidRPr="0010096C">
        <w:rPr>
          <w:noProof/>
          <w:lang w:eastAsia="en-AU"/>
        </w:rPr>
        <w:drawing>
          <wp:inline distT="0" distB="0" distL="0" distR="0" wp14:anchorId="2AEE129B" wp14:editId="0A4C844D">
            <wp:extent cx="2647950" cy="3888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3888105"/>
                    </a:xfrm>
                    <a:prstGeom prst="rect">
                      <a:avLst/>
                    </a:prstGeom>
                    <a:noFill/>
                    <a:ln>
                      <a:noFill/>
                    </a:ln>
                  </pic:spPr>
                </pic:pic>
              </a:graphicData>
            </a:graphic>
          </wp:inline>
        </w:drawing>
      </w:r>
    </w:p>
    <w:p w14:paraId="1D4E4DC7" w14:textId="77777777" w:rsidR="00965334" w:rsidRPr="00380D2E" w:rsidRDefault="00965334" w:rsidP="006641A6">
      <w:pPr>
        <w:jc w:val="both"/>
      </w:pPr>
      <w:r w:rsidRPr="00206F32">
        <w:rPr>
          <w:b/>
        </w:rPr>
        <w:t>Figure 1</w:t>
      </w:r>
      <w:r w:rsidRPr="00380D2E">
        <w:t xml:space="preserve">. </w:t>
      </w:r>
      <w:bookmarkStart w:id="2" w:name="OLE_LINK1"/>
      <w:r w:rsidRPr="00380D2E">
        <w:t xml:space="preserve">A) Mean plant survival (%) observed across 140 field populations of annual ryegrass collected in Western Australia in 2018–2019 and tested for herbicide resistance at the recommended label dose </w:t>
      </w:r>
      <w:r w:rsidR="00E0676A">
        <w:t>to</w:t>
      </w:r>
      <w:r w:rsidR="00E0676A" w:rsidRPr="00380D2E">
        <w:t xml:space="preserve"> </w:t>
      </w:r>
      <w:r w:rsidRPr="00380D2E">
        <w:t xml:space="preserve">three POST </w:t>
      </w:r>
      <w:proofErr w:type="spellStart"/>
      <w:r w:rsidRPr="00380D2E">
        <w:t>ACCase</w:t>
      </w:r>
      <w:proofErr w:type="spellEnd"/>
      <w:r w:rsidRPr="00380D2E">
        <w:t xml:space="preserve"> stand-alone herbicides and a binary mixture.  Different letters indicate significantly different mean values separated by multiple comparisons by a post-hoc Tukey test (P &lt; 0.05).</w:t>
      </w:r>
      <w:bookmarkEnd w:id="2"/>
    </w:p>
    <w:p w14:paraId="600A7CE5" w14:textId="77777777" w:rsidR="00965334" w:rsidRPr="00380D2E" w:rsidRDefault="0010096C" w:rsidP="006641A6">
      <w:pPr>
        <w:jc w:val="both"/>
      </w:pPr>
      <w:r w:rsidRPr="00C44BE7">
        <w:rPr>
          <w:noProof/>
          <w:lang w:eastAsia="en-AU"/>
        </w:rPr>
        <w:lastRenderedPageBreak/>
        <w:drawing>
          <wp:inline distT="0" distB="0" distL="0" distR="0" wp14:anchorId="347C3618" wp14:editId="1C34126F">
            <wp:extent cx="3568700" cy="483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0" cy="4832350"/>
                    </a:xfrm>
                    <a:prstGeom prst="rect">
                      <a:avLst/>
                    </a:prstGeom>
                    <a:noFill/>
                    <a:ln>
                      <a:noFill/>
                    </a:ln>
                  </pic:spPr>
                </pic:pic>
              </a:graphicData>
            </a:graphic>
          </wp:inline>
        </w:drawing>
      </w:r>
    </w:p>
    <w:p w14:paraId="0D66407A" w14:textId="77777777" w:rsidR="00965334" w:rsidRPr="00380D2E" w:rsidRDefault="00965334" w:rsidP="006641A6">
      <w:pPr>
        <w:jc w:val="both"/>
      </w:pPr>
      <w:r w:rsidRPr="00343E07">
        <w:rPr>
          <w:b/>
        </w:rPr>
        <w:t>Figure 2</w:t>
      </w:r>
      <w:r w:rsidRPr="00380D2E">
        <w:t>.  Mean plant survival (%) obs</w:t>
      </w:r>
      <w:r w:rsidR="0010096C">
        <w:t>erved across 14</w:t>
      </w:r>
      <w:r w:rsidRPr="00380D2E">
        <w:t xml:space="preserve">0 field populations of annual ryegrass collected in Western Australia in 2018–2019 and tested for herbicide resistance at the recommended label dose </w:t>
      </w:r>
      <w:r w:rsidR="00E0676A">
        <w:t>to</w:t>
      </w:r>
      <w:r w:rsidR="00E0676A" w:rsidRPr="00380D2E">
        <w:t xml:space="preserve"> </w:t>
      </w:r>
      <w:r w:rsidRPr="00380D2E">
        <w:t>four PRE</w:t>
      </w:r>
      <w:r w:rsidR="00636999">
        <w:t>-</w:t>
      </w:r>
      <w:r w:rsidRPr="00380D2E">
        <w:t>standalone herbicides versus six binary mixtures of the same herbicides</w:t>
      </w:r>
      <w:r w:rsidR="00636999">
        <w:t>,</w:t>
      </w:r>
      <w:r w:rsidRPr="00380D2E">
        <w:t xml:space="preserve"> vs two new herbicides. Different letters indicate significantly different mean values separated by multiple comparisons by a post-hoc Tukey test (P&lt;0.05).</w:t>
      </w:r>
      <w:r w:rsidRPr="00380D2E">
        <w:br w:type="page"/>
      </w:r>
    </w:p>
    <w:p w14:paraId="26C42F49" w14:textId="77777777" w:rsidR="00965334" w:rsidRPr="00380D2E" w:rsidRDefault="00965334" w:rsidP="006641A6">
      <w:pPr>
        <w:jc w:val="both"/>
      </w:pPr>
      <w:r w:rsidRPr="00206F32">
        <w:rPr>
          <w:b/>
        </w:rPr>
        <w:lastRenderedPageBreak/>
        <w:t>Table 2</w:t>
      </w:r>
      <w:r w:rsidRPr="00380D2E">
        <w:t xml:space="preserve">.  </w:t>
      </w:r>
      <w:bookmarkStart w:id="3" w:name="OLE_LINK2"/>
      <w:r w:rsidRPr="00380D2E">
        <w:t xml:space="preserve">Herbicide resistance frequencies of 140 populations of </w:t>
      </w:r>
      <w:r w:rsidR="0010096C">
        <w:t xml:space="preserve">annual ryegrass </w:t>
      </w:r>
      <w:r w:rsidRPr="00380D2E">
        <w:t xml:space="preserve">collected in Western Australia in 2018-2019 and tested for herbicide resistance to POST </w:t>
      </w:r>
      <w:proofErr w:type="spellStart"/>
      <w:r w:rsidRPr="00380D2E">
        <w:t>ACCase</w:t>
      </w:r>
      <w:proofErr w:type="spellEnd"/>
      <w:r w:rsidRPr="00380D2E">
        <w:t xml:space="preserve"> herbicides and their mixtures. Tested samples were divided into three categories according to the percentage survival observed at the recommended label dose. Herbicide “Resistance” was diagnosed with ≥20 % survival, “Developing” resistance with survival ranging between 6-19% and “Susceptible” samples with survival ≤5%.</w:t>
      </w:r>
      <w:bookmarkEnd w:id="3"/>
      <w:r w:rsidRPr="00380D2E">
        <w:t xml:space="preserve"> Within each column</w:t>
      </w:r>
      <w:r w:rsidR="00CB7679">
        <w:t>,</w:t>
      </w:r>
      <w:r w:rsidRPr="00380D2E">
        <w:t xml:space="preserve"> different letters indicate significantly different resistance frequencies (as proportions of samples resistant, developing or susceptible to each respective herbicide). Values were separated by multiple comparisons with a </w:t>
      </w:r>
      <w:r w:rsidRPr="00380D2E">
        <w:sym w:font="Symbol" w:char="F063"/>
      </w:r>
      <w:r w:rsidRPr="00380D2E">
        <w:t xml:space="preserve">2 heterogeneity test performed using the statistical software R with the command </w:t>
      </w:r>
      <w:proofErr w:type="spellStart"/>
      <w:r w:rsidRPr="00380D2E">
        <w:t>prop.test</w:t>
      </w:r>
      <w:proofErr w:type="spellEnd"/>
      <w:r w:rsidRPr="00380D2E">
        <w:t>.</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2088"/>
        <w:gridCol w:w="2223"/>
        <w:gridCol w:w="2048"/>
      </w:tblGrid>
      <w:tr w:rsidR="00965334" w:rsidRPr="007C2BB9" w14:paraId="11D243E5" w14:textId="77777777" w:rsidTr="00EE23EC">
        <w:trPr>
          <w:cnfStyle w:val="100000000000" w:firstRow="1" w:lastRow="0" w:firstColumn="0" w:lastColumn="0" w:oddVBand="0" w:evenVBand="0" w:oddHBand="0" w:evenHBand="0" w:firstRowFirstColumn="0" w:firstRowLastColumn="0" w:lastRowFirstColumn="0" w:lastRowLastColumn="0"/>
        </w:trPr>
        <w:tc>
          <w:tcPr>
            <w:tcW w:w="2525" w:type="dxa"/>
            <w:tcBorders>
              <w:top w:val="single" w:sz="4" w:space="0" w:color="auto"/>
              <w:bottom w:val="single" w:sz="4" w:space="0" w:color="auto"/>
            </w:tcBorders>
            <w:shd w:val="clear" w:color="auto" w:fill="FFFFFF" w:themeFill="background1"/>
            <w:vAlign w:val="bottom"/>
          </w:tcPr>
          <w:p w14:paraId="4F56C861" w14:textId="77777777" w:rsidR="00965334" w:rsidRPr="00EE23EC" w:rsidRDefault="00965334" w:rsidP="006641A6">
            <w:pPr>
              <w:jc w:val="both"/>
            </w:pPr>
            <w:r w:rsidRPr="00EE23EC">
              <w:t>Herbicide</w:t>
            </w:r>
          </w:p>
          <w:p w14:paraId="4F52084E" w14:textId="77777777" w:rsidR="00965334" w:rsidRPr="00EE23EC" w:rsidRDefault="00965334" w:rsidP="006641A6">
            <w:pPr>
              <w:jc w:val="both"/>
            </w:pPr>
            <w:r w:rsidRPr="00EE23EC">
              <w:t>POST</w:t>
            </w:r>
          </w:p>
        </w:tc>
        <w:tc>
          <w:tcPr>
            <w:tcW w:w="2088" w:type="dxa"/>
            <w:tcBorders>
              <w:top w:val="single" w:sz="4" w:space="0" w:color="auto"/>
              <w:bottom w:val="single" w:sz="4" w:space="0" w:color="auto"/>
            </w:tcBorders>
            <w:shd w:val="clear" w:color="auto" w:fill="FFFFFF" w:themeFill="background1"/>
            <w:vAlign w:val="bottom"/>
          </w:tcPr>
          <w:p w14:paraId="191574BA" w14:textId="77777777" w:rsidR="00965334" w:rsidRPr="00EE23EC" w:rsidRDefault="00965334" w:rsidP="006641A6">
            <w:pPr>
              <w:jc w:val="both"/>
            </w:pPr>
            <w:r w:rsidRPr="00EE23EC">
              <w:t xml:space="preserve">Resistance </w:t>
            </w:r>
          </w:p>
          <w:p w14:paraId="672BB59F" w14:textId="77777777" w:rsidR="00965334" w:rsidRPr="00EE23EC" w:rsidRDefault="00965334" w:rsidP="006641A6">
            <w:pPr>
              <w:jc w:val="both"/>
            </w:pPr>
            <w:r w:rsidRPr="00EE23EC">
              <w:t>≥20% survival</w:t>
            </w:r>
          </w:p>
        </w:tc>
        <w:tc>
          <w:tcPr>
            <w:tcW w:w="2223" w:type="dxa"/>
            <w:tcBorders>
              <w:top w:val="single" w:sz="4" w:space="0" w:color="auto"/>
              <w:bottom w:val="single" w:sz="4" w:space="0" w:color="auto"/>
            </w:tcBorders>
            <w:shd w:val="clear" w:color="auto" w:fill="FFFFFF" w:themeFill="background1"/>
            <w:vAlign w:val="bottom"/>
          </w:tcPr>
          <w:p w14:paraId="12E37B7E" w14:textId="77777777" w:rsidR="00965334" w:rsidRPr="00EE23EC" w:rsidRDefault="00965334" w:rsidP="006641A6">
            <w:pPr>
              <w:jc w:val="both"/>
            </w:pPr>
            <w:r w:rsidRPr="00EE23EC">
              <w:t xml:space="preserve">Developing </w:t>
            </w:r>
          </w:p>
          <w:p w14:paraId="3C054560" w14:textId="77777777" w:rsidR="00965334" w:rsidRPr="00EE23EC" w:rsidRDefault="00965334" w:rsidP="006641A6">
            <w:pPr>
              <w:jc w:val="both"/>
            </w:pPr>
            <w:r w:rsidRPr="00EE23EC">
              <w:t>6-19% survival</w:t>
            </w:r>
          </w:p>
        </w:tc>
        <w:tc>
          <w:tcPr>
            <w:tcW w:w="2048" w:type="dxa"/>
            <w:tcBorders>
              <w:top w:val="single" w:sz="4" w:space="0" w:color="auto"/>
              <w:bottom w:val="single" w:sz="4" w:space="0" w:color="auto"/>
            </w:tcBorders>
            <w:shd w:val="clear" w:color="auto" w:fill="FFFFFF" w:themeFill="background1"/>
            <w:vAlign w:val="bottom"/>
          </w:tcPr>
          <w:p w14:paraId="31433AFC" w14:textId="77777777" w:rsidR="00965334" w:rsidRPr="00EE23EC" w:rsidRDefault="00965334" w:rsidP="006641A6">
            <w:pPr>
              <w:jc w:val="both"/>
            </w:pPr>
            <w:r w:rsidRPr="00EE23EC">
              <w:t xml:space="preserve">Susceptible </w:t>
            </w:r>
          </w:p>
          <w:p w14:paraId="7B3A977B" w14:textId="77777777" w:rsidR="00965334" w:rsidRPr="00EE23EC" w:rsidRDefault="00965334" w:rsidP="006641A6">
            <w:pPr>
              <w:jc w:val="both"/>
            </w:pPr>
            <w:r w:rsidRPr="00EE23EC">
              <w:t>≤5% survival</w:t>
            </w:r>
          </w:p>
        </w:tc>
      </w:tr>
      <w:tr w:rsidR="00965334" w:rsidRPr="007C2BB9" w14:paraId="0D42FF04" w14:textId="77777777" w:rsidTr="00A77B5D">
        <w:tc>
          <w:tcPr>
            <w:tcW w:w="2525" w:type="dxa"/>
            <w:tcBorders>
              <w:top w:val="single" w:sz="4" w:space="0" w:color="auto"/>
            </w:tcBorders>
            <w:vAlign w:val="bottom"/>
          </w:tcPr>
          <w:p w14:paraId="4A83658F" w14:textId="77777777" w:rsidR="00965334" w:rsidRPr="00380D2E" w:rsidRDefault="00965334" w:rsidP="006641A6">
            <w:pPr>
              <w:jc w:val="both"/>
            </w:pPr>
            <w:proofErr w:type="spellStart"/>
            <w:r w:rsidRPr="00380D2E">
              <w:t>Diclofop</w:t>
            </w:r>
            <w:proofErr w:type="spellEnd"/>
          </w:p>
        </w:tc>
        <w:tc>
          <w:tcPr>
            <w:tcW w:w="2088" w:type="dxa"/>
            <w:tcBorders>
              <w:top w:val="single" w:sz="4" w:space="0" w:color="auto"/>
            </w:tcBorders>
            <w:vAlign w:val="bottom"/>
          </w:tcPr>
          <w:p w14:paraId="2DDBEFB9" w14:textId="77777777" w:rsidR="00965334" w:rsidRPr="00380D2E" w:rsidRDefault="00965334" w:rsidP="006641A6">
            <w:pPr>
              <w:jc w:val="both"/>
            </w:pPr>
            <w:r w:rsidRPr="00380D2E">
              <w:t>77 a</w:t>
            </w:r>
          </w:p>
        </w:tc>
        <w:tc>
          <w:tcPr>
            <w:tcW w:w="2223" w:type="dxa"/>
            <w:tcBorders>
              <w:top w:val="single" w:sz="4" w:space="0" w:color="auto"/>
            </w:tcBorders>
            <w:vAlign w:val="bottom"/>
          </w:tcPr>
          <w:p w14:paraId="69885EB3" w14:textId="77777777" w:rsidR="00965334" w:rsidRPr="00380D2E" w:rsidRDefault="00965334" w:rsidP="006641A6">
            <w:pPr>
              <w:jc w:val="both"/>
            </w:pPr>
            <w:r w:rsidRPr="00380D2E">
              <w:t>17 a</w:t>
            </w:r>
          </w:p>
        </w:tc>
        <w:tc>
          <w:tcPr>
            <w:tcW w:w="2048" w:type="dxa"/>
            <w:tcBorders>
              <w:top w:val="single" w:sz="4" w:space="0" w:color="auto"/>
            </w:tcBorders>
            <w:vAlign w:val="bottom"/>
          </w:tcPr>
          <w:p w14:paraId="2FA5F8B5" w14:textId="77777777" w:rsidR="00965334" w:rsidRPr="00380D2E" w:rsidRDefault="00965334" w:rsidP="006641A6">
            <w:pPr>
              <w:jc w:val="both"/>
            </w:pPr>
            <w:r w:rsidRPr="00380D2E">
              <w:t>6 a</w:t>
            </w:r>
          </w:p>
        </w:tc>
      </w:tr>
      <w:tr w:rsidR="00965334" w:rsidRPr="007C2BB9" w14:paraId="4F9E0E00" w14:textId="77777777" w:rsidTr="00A77B5D">
        <w:tc>
          <w:tcPr>
            <w:tcW w:w="2525" w:type="dxa"/>
            <w:vAlign w:val="bottom"/>
          </w:tcPr>
          <w:p w14:paraId="5E3DE5F6" w14:textId="77777777" w:rsidR="00965334" w:rsidRPr="00380D2E" w:rsidRDefault="00965334" w:rsidP="006641A6">
            <w:pPr>
              <w:jc w:val="both"/>
            </w:pPr>
            <w:r w:rsidRPr="00380D2E">
              <w:t>Clethodim</w:t>
            </w:r>
          </w:p>
        </w:tc>
        <w:tc>
          <w:tcPr>
            <w:tcW w:w="2088" w:type="dxa"/>
            <w:vAlign w:val="bottom"/>
          </w:tcPr>
          <w:p w14:paraId="07AC0056" w14:textId="77777777" w:rsidR="00965334" w:rsidRPr="00380D2E" w:rsidRDefault="00965334" w:rsidP="006641A6">
            <w:pPr>
              <w:jc w:val="both"/>
            </w:pPr>
            <w:r w:rsidRPr="00380D2E">
              <w:t>25 b</w:t>
            </w:r>
          </w:p>
        </w:tc>
        <w:tc>
          <w:tcPr>
            <w:tcW w:w="2223" w:type="dxa"/>
            <w:vAlign w:val="bottom"/>
          </w:tcPr>
          <w:p w14:paraId="6C95A148" w14:textId="77777777" w:rsidR="00965334" w:rsidRPr="00380D2E" w:rsidRDefault="00965334" w:rsidP="006641A6">
            <w:pPr>
              <w:jc w:val="both"/>
            </w:pPr>
            <w:r w:rsidRPr="00380D2E">
              <w:t>37 b</w:t>
            </w:r>
          </w:p>
        </w:tc>
        <w:tc>
          <w:tcPr>
            <w:tcW w:w="2048" w:type="dxa"/>
            <w:vAlign w:val="bottom"/>
          </w:tcPr>
          <w:p w14:paraId="43593048" w14:textId="77777777" w:rsidR="00965334" w:rsidRPr="00380D2E" w:rsidRDefault="00965334" w:rsidP="006641A6">
            <w:pPr>
              <w:jc w:val="both"/>
            </w:pPr>
            <w:r w:rsidRPr="00380D2E">
              <w:t>39 b</w:t>
            </w:r>
          </w:p>
        </w:tc>
      </w:tr>
      <w:tr w:rsidR="00965334" w:rsidRPr="007C2BB9" w14:paraId="4E0A1D53" w14:textId="77777777" w:rsidTr="00A77B5D">
        <w:tc>
          <w:tcPr>
            <w:tcW w:w="2525" w:type="dxa"/>
            <w:vAlign w:val="bottom"/>
          </w:tcPr>
          <w:p w14:paraId="7D8BF9A7" w14:textId="77777777" w:rsidR="00965334" w:rsidRPr="00380D2E" w:rsidRDefault="00965334" w:rsidP="006641A6">
            <w:pPr>
              <w:jc w:val="both"/>
            </w:pPr>
            <w:proofErr w:type="spellStart"/>
            <w:r w:rsidRPr="00380D2E">
              <w:t>Butroxydim</w:t>
            </w:r>
            <w:proofErr w:type="spellEnd"/>
          </w:p>
        </w:tc>
        <w:tc>
          <w:tcPr>
            <w:tcW w:w="2088" w:type="dxa"/>
            <w:vAlign w:val="bottom"/>
          </w:tcPr>
          <w:p w14:paraId="7DF56BD5" w14:textId="77777777" w:rsidR="00965334" w:rsidRPr="00380D2E" w:rsidRDefault="00965334" w:rsidP="006641A6">
            <w:pPr>
              <w:jc w:val="both"/>
            </w:pPr>
            <w:r w:rsidRPr="00380D2E">
              <w:t>10 c</w:t>
            </w:r>
          </w:p>
        </w:tc>
        <w:tc>
          <w:tcPr>
            <w:tcW w:w="2223" w:type="dxa"/>
            <w:vAlign w:val="bottom"/>
          </w:tcPr>
          <w:p w14:paraId="4B36C76F" w14:textId="77777777" w:rsidR="00965334" w:rsidRPr="00380D2E" w:rsidRDefault="00965334" w:rsidP="006641A6">
            <w:pPr>
              <w:jc w:val="both"/>
            </w:pPr>
            <w:r w:rsidRPr="00380D2E">
              <w:t>30 b</w:t>
            </w:r>
          </w:p>
        </w:tc>
        <w:tc>
          <w:tcPr>
            <w:tcW w:w="2048" w:type="dxa"/>
            <w:vAlign w:val="bottom"/>
          </w:tcPr>
          <w:p w14:paraId="0F8DCD50" w14:textId="77777777" w:rsidR="00965334" w:rsidRPr="00380D2E" w:rsidRDefault="00965334" w:rsidP="006641A6">
            <w:pPr>
              <w:jc w:val="both"/>
            </w:pPr>
            <w:r w:rsidRPr="00380D2E">
              <w:t>60 c</w:t>
            </w:r>
          </w:p>
        </w:tc>
      </w:tr>
      <w:tr w:rsidR="00965334" w:rsidRPr="007C2BB9" w14:paraId="1C81FBCC" w14:textId="77777777" w:rsidTr="00A77B5D">
        <w:tc>
          <w:tcPr>
            <w:tcW w:w="2525" w:type="dxa"/>
            <w:vAlign w:val="bottom"/>
          </w:tcPr>
          <w:p w14:paraId="7513D9E2" w14:textId="77777777" w:rsidR="00965334" w:rsidRPr="00380D2E" w:rsidRDefault="00965334" w:rsidP="006641A6">
            <w:pPr>
              <w:jc w:val="both"/>
            </w:pPr>
            <w:r w:rsidRPr="00380D2E">
              <w:t>Clethodim</w:t>
            </w:r>
            <w:r w:rsidR="00CF0EDA" w:rsidRPr="00380D2E">
              <w:t xml:space="preserve"> </w:t>
            </w:r>
            <w:r w:rsidRPr="00380D2E">
              <w:t>+</w:t>
            </w:r>
            <w:r w:rsidR="00CF0EDA" w:rsidRPr="00380D2E">
              <w:t xml:space="preserve"> </w:t>
            </w:r>
            <w:proofErr w:type="spellStart"/>
            <w:r w:rsidRPr="00380D2E">
              <w:t>Butroxydim</w:t>
            </w:r>
            <w:proofErr w:type="spellEnd"/>
          </w:p>
        </w:tc>
        <w:tc>
          <w:tcPr>
            <w:tcW w:w="2088" w:type="dxa"/>
            <w:vAlign w:val="bottom"/>
          </w:tcPr>
          <w:p w14:paraId="159AA00D" w14:textId="77777777" w:rsidR="00965334" w:rsidRPr="00380D2E" w:rsidRDefault="00965334" w:rsidP="006641A6">
            <w:pPr>
              <w:jc w:val="both"/>
            </w:pPr>
            <w:r w:rsidRPr="00380D2E">
              <w:t>3 d</w:t>
            </w:r>
          </w:p>
        </w:tc>
        <w:tc>
          <w:tcPr>
            <w:tcW w:w="2223" w:type="dxa"/>
            <w:vAlign w:val="bottom"/>
          </w:tcPr>
          <w:p w14:paraId="67FACA64" w14:textId="77777777" w:rsidR="00965334" w:rsidRPr="00380D2E" w:rsidRDefault="00965334" w:rsidP="006641A6">
            <w:pPr>
              <w:jc w:val="both"/>
            </w:pPr>
            <w:r w:rsidRPr="00380D2E">
              <w:t>9 c</w:t>
            </w:r>
          </w:p>
        </w:tc>
        <w:tc>
          <w:tcPr>
            <w:tcW w:w="2048" w:type="dxa"/>
            <w:vAlign w:val="bottom"/>
          </w:tcPr>
          <w:p w14:paraId="1B335CF6" w14:textId="77777777" w:rsidR="00965334" w:rsidRPr="00380D2E" w:rsidRDefault="00965334" w:rsidP="006641A6">
            <w:pPr>
              <w:jc w:val="both"/>
            </w:pPr>
            <w:r w:rsidRPr="00380D2E">
              <w:t>88 d</w:t>
            </w:r>
          </w:p>
        </w:tc>
      </w:tr>
    </w:tbl>
    <w:p w14:paraId="41A57DF4" w14:textId="77777777" w:rsidR="00965334" w:rsidRPr="00380D2E" w:rsidRDefault="00965334" w:rsidP="006641A6">
      <w:pPr>
        <w:jc w:val="both"/>
      </w:pPr>
    </w:p>
    <w:p w14:paraId="04DDC001" w14:textId="77777777" w:rsidR="00965334" w:rsidRPr="00380D2E" w:rsidRDefault="00965334" w:rsidP="006641A6">
      <w:pPr>
        <w:jc w:val="both"/>
      </w:pPr>
      <w:r w:rsidRPr="00380D2E">
        <w:br w:type="page"/>
      </w:r>
    </w:p>
    <w:p w14:paraId="4A1B88FB" w14:textId="77777777" w:rsidR="00965334" w:rsidRPr="00380D2E" w:rsidRDefault="00965334" w:rsidP="006641A6">
      <w:pPr>
        <w:jc w:val="both"/>
      </w:pPr>
      <w:r w:rsidRPr="00206F32">
        <w:rPr>
          <w:b/>
        </w:rPr>
        <w:lastRenderedPageBreak/>
        <w:t>Table 3</w:t>
      </w:r>
      <w:r w:rsidRPr="00380D2E">
        <w:t xml:space="preserve">.  Herbicide resistance frequencies of 140 populations of </w:t>
      </w:r>
      <w:r w:rsidR="0010096C">
        <w:t>annual ryegrass</w:t>
      </w:r>
      <w:r w:rsidRPr="00380D2E">
        <w:t xml:space="preserve"> collected in Western Australia in 2018-2019 and tested for herbicide resistance to PRE</w:t>
      </w:r>
      <w:r w:rsidR="00CB7679">
        <w:t>-</w:t>
      </w:r>
      <w:r w:rsidRPr="00380D2E">
        <w:t>herbicides and their mixtures. Tested samples were divided into three categories according to the percentage survival observed at the recommended label dose. Herbicide “Resistance” was diagnosed with ≥20 % survival, “Developing” resistance with survival ranging between 6-19% and “Susceptible” samples with survival ≤5%.</w:t>
      </w:r>
      <w:r w:rsidR="00CB7679">
        <w:t xml:space="preserve"> </w:t>
      </w:r>
      <w:r w:rsidRPr="00380D2E">
        <w:t>Within each column</w:t>
      </w:r>
      <w:r w:rsidR="00CB7679">
        <w:t>,</w:t>
      </w:r>
      <w:r w:rsidRPr="00380D2E">
        <w:t xml:space="preserve"> different letters indicate significantly different resistance frequencies (as proportions of samples resistant, developing or susceptible to each respective herbicide). Values were separated by multiple comparisons with a </w:t>
      </w:r>
      <w:r w:rsidRPr="00380D2E">
        <w:sym w:font="Symbol" w:char="F063"/>
      </w:r>
      <w:r w:rsidRPr="00380D2E">
        <w:t xml:space="preserve">2 heterogeneity test performed using the statistical software R with the command </w:t>
      </w:r>
      <w:proofErr w:type="spellStart"/>
      <w:r w:rsidRPr="00380D2E">
        <w:t>prop.test</w:t>
      </w:r>
      <w:proofErr w:type="spellEnd"/>
      <w:r w:rsidRPr="00380D2E">
        <w:t>.</w:t>
      </w:r>
    </w:p>
    <w:tbl>
      <w:tblPr>
        <w:tblStyle w:val="TableGrid"/>
        <w:tblW w:w="8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1839"/>
        <w:gridCol w:w="1969"/>
        <w:gridCol w:w="1801"/>
      </w:tblGrid>
      <w:tr w:rsidR="00965334" w:rsidRPr="007C2BB9" w14:paraId="61A4A698" w14:textId="77777777" w:rsidTr="00EE23EC">
        <w:trPr>
          <w:cnfStyle w:val="100000000000" w:firstRow="1" w:lastRow="0" w:firstColumn="0" w:lastColumn="0" w:oddVBand="0" w:evenVBand="0" w:oddHBand="0" w:evenHBand="0" w:firstRowFirstColumn="0" w:firstRowLastColumn="0" w:lastRowFirstColumn="0" w:lastRowLastColumn="0"/>
        </w:trPr>
        <w:tc>
          <w:tcPr>
            <w:tcW w:w="3205" w:type="dxa"/>
            <w:tcBorders>
              <w:top w:val="single" w:sz="4" w:space="0" w:color="auto"/>
              <w:bottom w:val="single" w:sz="4" w:space="0" w:color="auto"/>
            </w:tcBorders>
            <w:shd w:val="clear" w:color="auto" w:fill="FFFFFF" w:themeFill="background1"/>
            <w:vAlign w:val="bottom"/>
          </w:tcPr>
          <w:p w14:paraId="1D62DBE1" w14:textId="77777777" w:rsidR="00965334" w:rsidRPr="00380D2E" w:rsidRDefault="00965334" w:rsidP="006641A6">
            <w:pPr>
              <w:spacing w:line="259" w:lineRule="auto"/>
            </w:pPr>
            <w:r w:rsidRPr="00380D2E">
              <w:t>Herbicide</w:t>
            </w:r>
          </w:p>
          <w:p w14:paraId="749A0048" w14:textId="77777777" w:rsidR="00965334" w:rsidRPr="00380D2E" w:rsidRDefault="00965334" w:rsidP="006641A6">
            <w:pPr>
              <w:spacing w:line="259" w:lineRule="auto"/>
            </w:pPr>
            <w:r w:rsidRPr="00380D2E">
              <w:t>PRE</w:t>
            </w:r>
          </w:p>
        </w:tc>
        <w:tc>
          <w:tcPr>
            <w:tcW w:w="1839" w:type="dxa"/>
            <w:tcBorders>
              <w:top w:val="single" w:sz="4" w:space="0" w:color="auto"/>
              <w:bottom w:val="single" w:sz="4" w:space="0" w:color="auto"/>
            </w:tcBorders>
            <w:shd w:val="clear" w:color="auto" w:fill="FFFFFF" w:themeFill="background1"/>
            <w:vAlign w:val="bottom"/>
          </w:tcPr>
          <w:p w14:paraId="5309B72D" w14:textId="77777777" w:rsidR="00EE23EC" w:rsidRDefault="00965334" w:rsidP="006641A6">
            <w:pPr>
              <w:spacing w:line="259" w:lineRule="auto"/>
              <w:jc w:val="center"/>
            </w:pPr>
            <w:r w:rsidRPr="00380D2E">
              <w:t>Resistance</w:t>
            </w:r>
          </w:p>
          <w:p w14:paraId="36C51E47" w14:textId="77777777" w:rsidR="00965334" w:rsidRPr="00380D2E" w:rsidRDefault="00965334" w:rsidP="006641A6">
            <w:pPr>
              <w:spacing w:line="259" w:lineRule="auto"/>
              <w:jc w:val="center"/>
            </w:pPr>
            <w:r w:rsidRPr="00380D2E">
              <w:t>≥20%</w:t>
            </w:r>
          </w:p>
        </w:tc>
        <w:tc>
          <w:tcPr>
            <w:tcW w:w="1969" w:type="dxa"/>
            <w:tcBorders>
              <w:top w:val="single" w:sz="4" w:space="0" w:color="auto"/>
              <w:bottom w:val="single" w:sz="4" w:space="0" w:color="auto"/>
            </w:tcBorders>
            <w:shd w:val="clear" w:color="auto" w:fill="FFFFFF" w:themeFill="background1"/>
            <w:vAlign w:val="bottom"/>
          </w:tcPr>
          <w:p w14:paraId="432756F8" w14:textId="77777777" w:rsidR="00965334" w:rsidRPr="00380D2E" w:rsidRDefault="00965334" w:rsidP="006641A6">
            <w:pPr>
              <w:spacing w:line="259" w:lineRule="auto"/>
              <w:jc w:val="center"/>
            </w:pPr>
            <w:r w:rsidRPr="00380D2E">
              <w:t>Developing</w:t>
            </w:r>
          </w:p>
          <w:p w14:paraId="57404561" w14:textId="77777777" w:rsidR="00965334" w:rsidRPr="00380D2E" w:rsidRDefault="00965334" w:rsidP="006641A6">
            <w:pPr>
              <w:spacing w:line="259" w:lineRule="auto"/>
              <w:jc w:val="center"/>
            </w:pPr>
            <w:r w:rsidRPr="00380D2E">
              <w:t>6-19%</w:t>
            </w:r>
          </w:p>
        </w:tc>
        <w:tc>
          <w:tcPr>
            <w:tcW w:w="1801" w:type="dxa"/>
            <w:tcBorders>
              <w:top w:val="single" w:sz="4" w:space="0" w:color="auto"/>
              <w:bottom w:val="single" w:sz="4" w:space="0" w:color="auto"/>
            </w:tcBorders>
            <w:shd w:val="clear" w:color="auto" w:fill="FFFFFF" w:themeFill="background1"/>
            <w:vAlign w:val="bottom"/>
          </w:tcPr>
          <w:p w14:paraId="57B2798C" w14:textId="77777777" w:rsidR="00EE23EC" w:rsidRDefault="00965334" w:rsidP="006641A6">
            <w:pPr>
              <w:spacing w:line="259" w:lineRule="auto"/>
              <w:jc w:val="center"/>
            </w:pPr>
            <w:r w:rsidRPr="00380D2E">
              <w:t>Susceptible</w:t>
            </w:r>
          </w:p>
          <w:p w14:paraId="74EDCB7E" w14:textId="77777777" w:rsidR="00965334" w:rsidRPr="00380D2E" w:rsidRDefault="00965334" w:rsidP="006641A6">
            <w:pPr>
              <w:spacing w:line="259" w:lineRule="auto"/>
              <w:jc w:val="center"/>
            </w:pPr>
            <w:r w:rsidRPr="00380D2E">
              <w:t>≤5%</w:t>
            </w:r>
          </w:p>
        </w:tc>
      </w:tr>
      <w:tr w:rsidR="00965334" w:rsidRPr="007C2BB9" w14:paraId="501FDD2C" w14:textId="77777777" w:rsidTr="00A77B5D">
        <w:tc>
          <w:tcPr>
            <w:tcW w:w="3205" w:type="dxa"/>
            <w:tcBorders>
              <w:top w:val="single" w:sz="4" w:space="0" w:color="auto"/>
            </w:tcBorders>
            <w:vAlign w:val="bottom"/>
          </w:tcPr>
          <w:p w14:paraId="0497FEF2" w14:textId="77777777" w:rsidR="00965334" w:rsidRPr="00380D2E" w:rsidRDefault="00965334" w:rsidP="006641A6">
            <w:pPr>
              <w:spacing w:line="259" w:lineRule="auto"/>
            </w:pPr>
            <w:proofErr w:type="spellStart"/>
            <w:r w:rsidRPr="00380D2E">
              <w:t>Prosulfocarb</w:t>
            </w:r>
            <w:proofErr w:type="spellEnd"/>
          </w:p>
        </w:tc>
        <w:tc>
          <w:tcPr>
            <w:tcW w:w="1839" w:type="dxa"/>
            <w:tcBorders>
              <w:top w:val="single" w:sz="4" w:space="0" w:color="auto"/>
            </w:tcBorders>
            <w:vAlign w:val="bottom"/>
          </w:tcPr>
          <w:p w14:paraId="561C48B4" w14:textId="77777777" w:rsidR="00965334" w:rsidRPr="00380D2E" w:rsidRDefault="00965334" w:rsidP="006641A6">
            <w:pPr>
              <w:spacing w:line="259" w:lineRule="auto"/>
              <w:jc w:val="center"/>
            </w:pPr>
            <w:r w:rsidRPr="00380D2E">
              <w:t>3 b</w:t>
            </w:r>
          </w:p>
        </w:tc>
        <w:tc>
          <w:tcPr>
            <w:tcW w:w="1969" w:type="dxa"/>
            <w:tcBorders>
              <w:top w:val="single" w:sz="4" w:space="0" w:color="auto"/>
            </w:tcBorders>
            <w:vAlign w:val="bottom"/>
          </w:tcPr>
          <w:p w14:paraId="161E037A" w14:textId="77777777" w:rsidR="00965334" w:rsidRPr="00380D2E" w:rsidRDefault="00965334" w:rsidP="006641A6">
            <w:pPr>
              <w:spacing w:line="259" w:lineRule="auto"/>
              <w:jc w:val="center"/>
            </w:pPr>
            <w:r w:rsidRPr="00380D2E">
              <w:t>33 a</w:t>
            </w:r>
          </w:p>
        </w:tc>
        <w:tc>
          <w:tcPr>
            <w:tcW w:w="1801" w:type="dxa"/>
            <w:tcBorders>
              <w:top w:val="single" w:sz="4" w:space="0" w:color="auto"/>
            </w:tcBorders>
            <w:vAlign w:val="bottom"/>
          </w:tcPr>
          <w:p w14:paraId="187809E2" w14:textId="77777777" w:rsidR="00965334" w:rsidRPr="00380D2E" w:rsidRDefault="00965334" w:rsidP="006641A6">
            <w:pPr>
              <w:spacing w:line="259" w:lineRule="auto"/>
              <w:jc w:val="center"/>
            </w:pPr>
            <w:r w:rsidRPr="00380D2E">
              <w:t>63 b</w:t>
            </w:r>
          </w:p>
        </w:tc>
      </w:tr>
      <w:tr w:rsidR="00965334" w:rsidRPr="007C2BB9" w14:paraId="2A6FB5AE" w14:textId="77777777" w:rsidTr="00A77B5D">
        <w:tc>
          <w:tcPr>
            <w:tcW w:w="3205" w:type="dxa"/>
            <w:vAlign w:val="bottom"/>
          </w:tcPr>
          <w:p w14:paraId="7174B20E" w14:textId="77777777" w:rsidR="00965334" w:rsidRPr="00380D2E" w:rsidRDefault="00965334" w:rsidP="006641A6">
            <w:pPr>
              <w:spacing w:line="259" w:lineRule="auto"/>
            </w:pPr>
            <w:proofErr w:type="spellStart"/>
            <w:r w:rsidRPr="00380D2E">
              <w:t>Pyroxasulfone</w:t>
            </w:r>
            <w:proofErr w:type="spellEnd"/>
          </w:p>
        </w:tc>
        <w:tc>
          <w:tcPr>
            <w:tcW w:w="1839" w:type="dxa"/>
            <w:vAlign w:val="bottom"/>
          </w:tcPr>
          <w:p w14:paraId="24DFB175" w14:textId="77777777" w:rsidR="00965334" w:rsidRPr="00380D2E" w:rsidRDefault="00965334" w:rsidP="006641A6">
            <w:pPr>
              <w:spacing w:line="259" w:lineRule="auto"/>
              <w:jc w:val="center"/>
            </w:pPr>
            <w:r w:rsidRPr="00380D2E">
              <w:t>0 b</w:t>
            </w:r>
          </w:p>
        </w:tc>
        <w:tc>
          <w:tcPr>
            <w:tcW w:w="1969" w:type="dxa"/>
            <w:vAlign w:val="bottom"/>
          </w:tcPr>
          <w:p w14:paraId="34A79E69" w14:textId="77777777" w:rsidR="00965334" w:rsidRPr="00380D2E" w:rsidRDefault="00965334" w:rsidP="006641A6">
            <w:pPr>
              <w:spacing w:line="259" w:lineRule="auto"/>
              <w:jc w:val="center"/>
            </w:pPr>
            <w:r w:rsidRPr="00380D2E">
              <w:t>13 b</w:t>
            </w:r>
          </w:p>
        </w:tc>
        <w:tc>
          <w:tcPr>
            <w:tcW w:w="1801" w:type="dxa"/>
            <w:vAlign w:val="bottom"/>
          </w:tcPr>
          <w:p w14:paraId="1D74F1DF" w14:textId="77777777" w:rsidR="00965334" w:rsidRPr="00380D2E" w:rsidRDefault="00965334" w:rsidP="006641A6">
            <w:pPr>
              <w:spacing w:line="259" w:lineRule="auto"/>
              <w:jc w:val="center"/>
            </w:pPr>
            <w:r w:rsidRPr="00380D2E">
              <w:t>87 c</w:t>
            </w:r>
          </w:p>
        </w:tc>
      </w:tr>
      <w:tr w:rsidR="00965334" w:rsidRPr="007C2BB9" w14:paraId="6AF70F00" w14:textId="77777777" w:rsidTr="00A77B5D">
        <w:tc>
          <w:tcPr>
            <w:tcW w:w="3205" w:type="dxa"/>
            <w:vAlign w:val="bottom"/>
          </w:tcPr>
          <w:p w14:paraId="1A999A7F" w14:textId="77777777" w:rsidR="00965334" w:rsidRPr="00380D2E" w:rsidRDefault="00965334" w:rsidP="006641A6">
            <w:pPr>
              <w:spacing w:line="259" w:lineRule="auto"/>
            </w:pPr>
            <w:r w:rsidRPr="00380D2E">
              <w:t>Triallate</w:t>
            </w:r>
          </w:p>
        </w:tc>
        <w:tc>
          <w:tcPr>
            <w:tcW w:w="1839" w:type="dxa"/>
            <w:vAlign w:val="bottom"/>
          </w:tcPr>
          <w:p w14:paraId="11C8BC27" w14:textId="77777777" w:rsidR="00965334" w:rsidRPr="00380D2E" w:rsidRDefault="00965334" w:rsidP="006641A6">
            <w:pPr>
              <w:spacing w:line="259" w:lineRule="auto"/>
              <w:jc w:val="center"/>
            </w:pPr>
            <w:r w:rsidRPr="00380D2E">
              <w:t>0 b</w:t>
            </w:r>
          </w:p>
        </w:tc>
        <w:tc>
          <w:tcPr>
            <w:tcW w:w="1969" w:type="dxa"/>
            <w:vAlign w:val="bottom"/>
          </w:tcPr>
          <w:p w14:paraId="5CE6D89E" w14:textId="77777777" w:rsidR="00965334" w:rsidRPr="00380D2E" w:rsidRDefault="00965334" w:rsidP="006641A6">
            <w:pPr>
              <w:spacing w:line="259" w:lineRule="auto"/>
              <w:jc w:val="center"/>
            </w:pPr>
            <w:r w:rsidRPr="00380D2E">
              <w:t>11 b</w:t>
            </w:r>
          </w:p>
        </w:tc>
        <w:tc>
          <w:tcPr>
            <w:tcW w:w="1801" w:type="dxa"/>
            <w:vAlign w:val="bottom"/>
          </w:tcPr>
          <w:p w14:paraId="1F1104EF" w14:textId="77777777" w:rsidR="00965334" w:rsidRPr="00380D2E" w:rsidRDefault="00965334" w:rsidP="006641A6">
            <w:pPr>
              <w:spacing w:line="259" w:lineRule="auto"/>
              <w:jc w:val="center"/>
            </w:pPr>
            <w:r w:rsidRPr="00380D2E">
              <w:t>89 c</w:t>
            </w:r>
          </w:p>
        </w:tc>
      </w:tr>
      <w:tr w:rsidR="00965334" w:rsidRPr="007C2BB9" w14:paraId="4803E125" w14:textId="77777777" w:rsidTr="00A77B5D">
        <w:tc>
          <w:tcPr>
            <w:tcW w:w="3205" w:type="dxa"/>
            <w:vAlign w:val="bottom"/>
          </w:tcPr>
          <w:p w14:paraId="23076C76" w14:textId="77777777" w:rsidR="00965334" w:rsidRPr="00380D2E" w:rsidRDefault="00965334" w:rsidP="006641A6">
            <w:pPr>
              <w:spacing w:line="259" w:lineRule="auto"/>
            </w:pPr>
            <w:r w:rsidRPr="00380D2E">
              <w:t>Trifluralin</w:t>
            </w:r>
          </w:p>
        </w:tc>
        <w:tc>
          <w:tcPr>
            <w:tcW w:w="1839" w:type="dxa"/>
            <w:vAlign w:val="bottom"/>
          </w:tcPr>
          <w:p w14:paraId="6ED8AF46" w14:textId="77777777" w:rsidR="00965334" w:rsidRPr="00380D2E" w:rsidRDefault="00965334" w:rsidP="006641A6">
            <w:pPr>
              <w:spacing w:line="259" w:lineRule="auto"/>
              <w:jc w:val="center"/>
            </w:pPr>
            <w:r w:rsidRPr="00380D2E">
              <w:t>17 a</w:t>
            </w:r>
          </w:p>
        </w:tc>
        <w:tc>
          <w:tcPr>
            <w:tcW w:w="1969" w:type="dxa"/>
            <w:vAlign w:val="bottom"/>
          </w:tcPr>
          <w:p w14:paraId="09C90A6B" w14:textId="77777777" w:rsidR="00965334" w:rsidRPr="00380D2E" w:rsidRDefault="00965334" w:rsidP="006641A6">
            <w:pPr>
              <w:spacing w:line="259" w:lineRule="auto"/>
              <w:jc w:val="center"/>
            </w:pPr>
            <w:r w:rsidRPr="00380D2E">
              <w:t>34 a</w:t>
            </w:r>
          </w:p>
        </w:tc>
        <w:tc>
          <w:tcPr>
            <w:tcW w:w="1801" w:type="dxa"/>
            <w:vAlign w:val="bottom"/>
          </w:tcPr>
          <w:p w14:paraId="00A15343" w14:textId="77777777" w:rsidR="00965334" w:rsidRPr="00380D2E" w:rsidRDefault="00965334" w:rsidP="006641A6">
            <w:pPr>
              <w:spacing w:line="259" w:lineRule="auto"/>
              <w:jc w:val="center"/>
            </w:pPr>
            <w:r w:rsidRPr="00380D2E">
              <w:t>49 a</w:t>
            </w:r>
          </w:p>
        </w:tc>
      </w:tr>
      <w:tr w:rsidR="00965334" w:rsidRPr="007C2BB9" w14:paraId="1917671A" w14:textId="77777777" w:rsidTr="00A77B5D">
        <w:tc>
          <w:tcPr>
            <w:tcW w:w="3205" w:type="dxa"/>
            <w:vAlign w:val="bottom"/>
          </w:tcPr>
          <w:p w14:paraId="57E11DEF" w14:textId="77777777" w:rsidR="00965334" w:rsidRPr="00380D2E" w:rsidRDefault="00965334" w:rsidP="006641A6">
            <w:pPr>
              <w:spacing w:line="259" w:lineRule="auto"/>
            </w:pPr>
            <w:r w:rsidRPr="00380D2E">
              <w:t xml:space="preserve">Trifluralin + </w:t>
            </w:r>
            <w:proofErr w:type="spellStart"/>
            <w:r w:rsidRPr="00380D2E">
              <w:t>Prosulfocarb</w:t>
            </w:r>
            <w:proofErr w:type="spellEnd"/>
          </w:p>
        </w:tc>
        <w:tc>
          <w:tcPr>
            <w:tcW w:w="1839" w:type="dxa"/>
            <w:vAlign w:val="bottom"/>
          </w:tcPr>
          <w:p w14:paraId="724648CA" w14:textId="77777777" w:rsidR="00965334" w:rsidRPr="00380D2E" w:rsidRDefault="00965334" w:rsidP="006641A6">
            <w:pPr>
              <w:spacing w:line="259" w:lineRule="auto"/>
              <w:jc w:val="center"/>
            </w:pPr>
            <w:r w:rsidRPr="00380D2E">
              <w:t>0 b</w:t>
            </w:r>
          </w:p>
        </w:tc>
        <w:tc>
          <w:tcPr>
            <w:tcW w:w="1969" w:type="dxa"/>
            <w:vAlign w:val="bottom"/>
          </w:tcPr>
          <w:p w14:paraId="0D636DF7" w14:textId="77777777" w:rsidR="00965334" w:rsidRPr="00380D2E" w:rsidRDefault="00965334" w:rsidP="006641A6">
            <w:pPr>
              <w:spacing w:line="259" w:lineRule="auto"/>
              <w:jc w:val="center"/>
            </w:pPr>
            <w:r w:rsidRPr="00380D2E">
              <w:t>8 b</w:t>
            </w:r>
          </w:p>
        </w:tc>
        <w:tc>
          <w:tcPr>
            <w:tcW w:w="1801" w:type="dxa"/>
            <w:vAlign w:val="bottom"/>
          </w:tcPr>
          <w:p w14:paraId="3A7E4485" w14:textId="77777777" w:rsidR="00965334" w:rsidRPr="00380D2E" w:rsidRDefault="00965334" w:rsidP="006641A6">
            <w:pPr>
              <w:spacing w:line="259" w:lineRule="auto"/>
              <w:jc w:val="center"/>
            </w:pPr>
            <w:r w:rsidRPr="00380D2E">
              <w:t>92 c</w:t>
            </w:r>
          </w:p>
        </w:tc>
      </w:tr>
      <w:tr w:rsidR="00965334" w:rsidRPr="007C2BB9" w14:paraId="6A37D553" w14:textId="77777777" w:rsidTr="00A77B5D">
        <w:tc>
          <w:tcPr>
            <w:tcW w:w="3205" w:type="dxa"/>
            <w:vAlign w:val="bottom"/>
          </w:tcPr>
          <w:p w14:paraId="31DB208B" w14:textId="77777777" w:rsidR="00965334" w:rsidRPr="00380D2E" w:rsidRDefault="00965334" w:rsidP="006641A6">
            <w:pPr>
              <w:spacing w:line="259" w:lineRule="auto"/>
            </w:pPr>
            <w:r w:rsidRPr="00380D2E">
              <w:t xml:space="preserve">Trifluralin + </w:t>
            </w:r>
            <w:proofErr w:type="spellStart"/>
            <w:r w:rsidRPr="00380D2E">
              <w:t>Pyroxasulfone</w:t>
            </w:r>
            <w:proofErr w:type="spellEnd"/>
          </w:p>
        </w:tc>
        <w:tc>
          <w:tcPr>
            <w:tcW w:w="1839" w:type="dxa"/>
            <w:vAlign w:val="bottom"/>
          </w:tcPr>
          <w:p w14:paraId="3E7C5501" w14:textId="77777777" w:rsidR="00965334" w:rsidRPr="00380D2E" w:rsidRDefault="00965334" w:rsidP="006641A6">
            <w:pPr>
              <w:spacing w:line="259" w:lineRule="auto"/>
              <w:jc w:val="center"/>
            </w:pPr>
            <w:r w:rsidRPr="00380D2E">
              <w:t>0 b</w:t>
            </w:r>
          </w:p>
        </w:tc>
        <w:tc>
          <w:tcPr>
            <w:tcW w:w="1969" w:type="dxa"/>
            <w:vAlign w:val="bottom"/>
          </w:tcPr>
          <w:p w14:paraId="42D5DF67" w14:textId="77777777" w:rsidR="00965334" w:rsidRPr="00380D2E" w:rsidRDefault="00965334" w:rsidP="006641A6">
            <w:pPr>
              <w:spacing w:line="259" w:lineRule="auto"/>
              <w:jc w:val="center"/>
            </w:pPr>
            <w:r w:rsidRPr="00380D2E">
              <w:t>6 b</w:t>
            </w:r>
          </w:p>
        </w:tc>
        <w:tc>
          <w:tcPr>
            <w:tcW w:w="1801" w:type="dxa"/>
            <w:vAlign w:val="bottom"/>
          </w:tcPr>
          <w:p w14:paraId="21E85CAB" w14:textId="77777777" w:rsidR="00965334" w:rsidRPr="00380D2E" w:rsidRDefault="00965334" w:rsidP="006641A6">
            <w:pPr>
              <w:spacing w:line="259" w:lineRule="auto"/>
              <w:jc w:val="center"/>
            </w:pPr>
            <w:r w:rsidRPr="00380D2E">
              <w:t>94 c</w:t>
            </w:r>
          </w:p>
        </w:tc>
      </w:tr>
      <w:tr w:rsidR="00965334" w:rsidRPr="007C2BB9" w14:paraId="28C8E669" w14:textId="77777777" w:rsidTr="00A77B5D">
        <w:tc>
          <w:tcPr>
            <w:tcW w:w="3205" w:type="dxa"/>
            <w:vAlign w:val="bottom"/>
          </w:tcPr>
          <w:p w14:paraId="7AFFBCBF" w14:textId="77777777" w:rsidR="00965334" w:rsidRPr="00380D2E" w:rsidRDefault="00965334" w:rsidP="006641A6">
            <w:pPr>
              <w:spacing w:line="259" w:lineRule="auto"/>
            </w:pPr>
            <w:r w:rsidRPr="00380D2E">
              <w:t>Trifluralin + Triallate</w:t>
            </w:r>
          </w:p>
        </w:tc>
        <w:tc>
          <w:tcPr>
            <w:tcW w:w="1839" w:type="dxa"/>
            <w:vAlign w:val="bottom"/>
          </w:tcPr>
          <w:p w14:paraId="3FF8E54C" w14:textId="77777777" w:rsidR="00965334" w:rsidRPr="00380D2E" w:rsidRDefault="00965334" w:rsidP="006641A6">
            <w:pPr>
              <w:spacing w:line="259" w:lineRule="auto"/>
              <w:jc w:val="center"/>
            </w:pPr>
            <w:r w:rsidRPr="00380D2E">
              <w:t>0 b</w:t>
            </w:r>
          </w:p>
        </w:tc>
        <w:tc>
          <w:tcPr>
            <w:tcW w:w="1969" w:type="dxa"/>
            <w:vAlign w:val="bottom"/>
          </w:tcPr>
          <w:p w14:paraId="4A815C77" w14:textId="77777777" w:rsidR="00965334" w:rsidRPr="00380D2E" w:rsidRDefault="00965334" w:rsidP="006641A6">
            <w:pPr>
              <w:spacing w:line="259" w:lineRule="auto"/>
              <w:jc w:val="center"/>
            </w:pPr>
            <w:r w:rsidRPr="00380D2E">
              <w:t>0 c</w:t>
            </w:r>
          </w:p>
        </w:tc>
        <w:tc>
          <w:tcPr>
            <w:tcW w:w="1801" w:type="dxa"/>
            <w:vAlign w:val="bottom"/>
          </w:tcPr>
          <w:p w14:paraId="5FC5227C" w14:textId="77777777" w:rsidR="00965334" w:rsidRPr="00380D2E" w:rsidRDefault="00965334" w:rsidP="006641A6">
            <w:pPr>
              <w:spacing w:line="259" w:lineRule="auto"/>
              <w:jc w:val="center"/>
            </w:pPr>
            <w:r w:rsidRPr="00380D2E">
              <w:t>100 d</w:t>
            </w:r>
          </w:p>
        </w:tc>
      </w:tr>
      <w:tr w:rsidR="00965334" w:rsidRPr="007C2BB9" w14:paraId="2D719C4C" w14:textId="77777777" w:rsidTr="00A77B5D">
        <w:tc>
          <w:tcPr>
            <w:tcW w:w="3205" w:type="dxa"/>
            <w:vAlign w:val="bottom"/>
          </w:tcPr>
          <w:p w14:paraId="3E3C0B2F" w14:textId="77777777" w:rsidR="00965334" w:rsidRPr="00380D2E" w:rsidRDefault="00965334" w:rsidP="006641A6">
            <w:pPr>
              <w:spacing w:line="259" w:lineRule="auto"/>
            </w:pPr>
            <w:proofErr w:type="spellStart"/>
            <w:r w:rsidRPr="00380D2E">
              <w:t>Prosulfocarb</w:t>
            </w:r>
            <w:proofErr w:type="spellEnd"/>
            <w:r w:rsidRPr="00380D2E">
              <w:t xml:space="preserve"> + Triallate</w:t>
            </w:r>
          </w:p>
        </w:tc>
        <w:tc>
          <w:tcPr>
            <w:tcW w:w="1839" w:type="dxa"/>
            <w:vAlign w:val="bottom"/>
          </w:tcPr>
          <w:p w14:paraId="2085D707" w14:textId="77777777" w:rsidR="00965334" w:rsidRPr="00380D2E" w:rsidRDefault="00965334" w:rsidP="006641A6">
            <w:pPr>
              <w:spacing w:line="259" w:lineRule="auto"/>
              <w:jc w:val="center"/>
            </w:pPr>
            <w:r w:rsidRPr="00380D2E">
              <w:t>0 b</w:t>
            </w:r>
          </w:p>
        </w:tc>
        <w:tc>
          <w:tcPr>
            <w:tcW w:w="1969" w:type="dxa"/>
            <w:vAlign w:val="bottom"/>
          </w:tcPr>
          <w:p w14:paraId="4996EFEC" w14:textId="77777777" w:rsidR="00965334" w:rsidRPr="00380D2E" w:rsidRDefault="00965334" w:rsidP="006641A6">
            <w:pPr>
              <w:spacing w:line="259" w:lineRule="auto"/>
              <w:jc w:val="center"/>
            </w:pPr>
            <w:r w:rsidRPr="00380D2E">
              <w:t xml:space="preserve">3 </w:t>
            </w:r>
            <w:proofErr w:type="spellStart"/>
            <w:r w:rsidRPr="00380D2E">
              <w:t>bc</w:t>
            </w:r>
            <w:proofErr w:type="spellEnd"/>
          </w:p>
        </w:tc>
        <w:tc>
          <w:tcPr>
            <w:tcW w:w="1801" w:type="dxa"/>
            <w:vAlign w:val="bottom"/>
          </w:tcPr>
          <w:p w14:paraId="3E7F1C68" w14:textId="77777777" w:rsidR="00965334" w:rsidRPr="00380D2E" w:rsidRDefault="00965334" w:rsidP="006641A6">
            <w:pPr>
              <w:spacing w:line="259" w:lineRule="auto"/>
              <w:jc w:val="center"/>
            </w:pPr>
            <w:r w:rsidRPr="00380D2E">
              <w:t>97 cd</w:t>
            </w:r>
          </w:p>
        </w:tc>
      </w:tr>
      <w:tr w:rsidR="00965334" w:rsidRPr="007C2BB9" w14:paraId="6B0BD903" w14:textId="77777777" w:rsidTr="00A77B5D">
        <w:tc>
          <w:tcPr>
            <w:tcW w:w="3205" w:type="dxa"/>
            <w:vAlign w:val="bottom"/>
          </w:tcPr>
          <w:p w14:paraId="7A85D344" w14:textId="77777777" w:rsidR="00965334" w:rsidRPr="00380D2E" w:rsidRDefault="00965334" w:rsidP="006641A6">
            <w:pPr>
              <w:spacing w:line="259" w:lineRule="auto"/>
            </w:pPr>
            <w:proofErr w:type="spellStart"/>
            <w:r w:rsidRPr="00380D2E">
              <w:t>Prosulfocarb</w:t>
            </w:r>
            <w:proofErr w:type="spellEnd"/>
            <w:r w:rsidRPr="00380D2E">
              <w:t xml:space="preserve"> + </w:t>
            </w:r>
            <w:proofErr w:type="spellStart"/>
            <w:r w:rsidRPr="00380D2E">
              <w:t>Pyroxasulfone</w:t>
            </w:r>
            <w:proofErr w:type="spellEnd"/>
          </w:p>
        </w:tc>
        <w:tc>
          <w:tcPr>
            <w:tcW w:w="1839" w:type="dxa"/>
            <w:vAlign w:val="bottom"/>
          </w:tcPr>
          <w:p w14:paraId="7B06D8BA" w14:textId="77777777" w:rsidR="00965334" w:rsidRPr="00380D2E" w:rsidRDefault="00965334" w:rsidP="006641A6">
            <w:pPr>
              <w:spacing w:line="259" w:lineRule="auto"/>
              <w:jc w:val="center"/>
            </w:pPr>
            <w:r w:rsidRPr="00380D2E">
              <w:t>0 b</w:t>
            </w:r>
          </w:p>
        </w:tc>
        <w:tc>
          <w:tcPr>
            <w:tcW w:w="1969" w:type="dxa"/>
            <w:vAlign w:val="bottom"/>
          </w:tcPr>
          <w:p w14:paraId="50B54FAE" w14:textId="77777777" w:rsidR="00965334" w:rsidRPr="00380D2E" w:rsidRDefault="00965334" w:rsidP="006641A6">
            <w:pPr>
              <w:spacing w:line="259" w:lineRule="auto"/>
              <w:jc w:val="center"/>
            </w:pPr>
            <w:r w:rsidRPr="00380D2E">
              <w:t xml:space="preserve">3 </w:t>
            </w:r>
            <w:proofErr w:type="spellStart"/>
            <w:r w:rsidRPr="00380D2E">
              <w:t>bc</w:t>
            </w:r>
            <w:proofErr w:type="spellEnd"/>
          </w:p>
        </w:tc>
        <w:tc>
          <w:tcPr>
            <w:tcW w:w="1801" w:type="dxa"/>
            <w:vAlign w:val="bottom"/>
          </w:tcPr>
          <w:p w14:paraId="56BEA6A5" w14:textId="77777777" w:rsidR="00965334" w:rsidRPr="00380D2E" w:rsidRDefault="00965334" w:rsidP="006641A6">
            <w:pPr>
              <w:spacing w:line="259" w:lineRule="auto"/>
              <w:jc w:val="center"/>
            </w:pPr>
            <w:r w:rsidRPr="00380D2E">
              <w:t>97 cd</w:t>
            </w:r>
          </w:p>
        </w:tc>
      </w:tr>
      <w:tr w:rsidR="00965334" w:rsidRPr="007C2BB9" w14:paraId="5BAA974F" w14:textId="77777777" w:rsidTr="00A77B5D">
        <w:tc>
          <w:tcPr>
            <w:tcW w:w="3205" w:type="dxa"/>
            <w:tcBorders>
              <w:bottom w:val="single" w:sz="4" w:space="0" w:color="auto"/>
            </w:tcBorders>
            <w:vAlign w:val="bottom"/>
          </w:tcPr>
          <w:p w14:paraId="40913676" w14:textId="77777777" w:rsidR="00965334" w:rsidRPr="00380D2E" w:rsidRDefault="00965334" w:rsidP="006641A6">
            <w:pPr>
              <w:spacing w:line="259" w:lineRule="auto"/>
            </w:pPr>
            <w:proofErr w:type="spellStart"/>
            <w:r w:rsidRPr="00380D2E">
              <w:t>Pyroxasulfone</w:t>
            </w:r>
            <w:proofErr w:type="spellEnd"/>
            <w:r w:rsidRPr="00380D2E">
              <w:t xml:space="preserve"> + Triallate</w:t>
            </w:r>
          </w:p>
        </w:tc>
        <w:tc>
          <w:tcPr>
            <w:tcW w:w="1839" w:type="dxa"/>
            <w:tcBorders>
              <w:bottom w:val="single" w:sz="4" w:space="0" w:color="auto"/>
            </w:tcBorders>
            <w:vAlign w:val="bottom"/>
          </w:tcPr>
          <w:p w14:paraId="1DE315C6" w14:textId="77777777" w:rsidR="00965334" w:rsidRPr="00380D2E" w:rsidRDefault="00965334" w:rsidP="006641A6">
            <w:pPr>
              <w:spacing w:line="259" w:lineRule="auto"/>
              <w:jc w:val="center"/>
            </w:pPr>
            <w:r w:rsidRPr="00380D2E">
              <w:t>0 b</w:t>
            </w:r>
          </w:p>
        </w:tc>
        <w:tc>
          <w:tcPr>
            <w:tcW w:w="1969" w:type="dxa"/>
            <w:tcBorders>
              <w:bottom w:val="single" w:sz="4" w:space="0" w:color="auto"/>
            </w:tcBorders>
            <w:vAlign w:val="bottom"/>
          </w:tcPr>
          <w:p w14:paraId="2BC71CA8" w14:textId="77777777" w:rsidR="00965334" w:rsidRPr="00380D2E" w:rsidRDefault="00965334" w:rsidP="006641A6">
            <w:pPr>
              <w:spacing w:line="259" w:lineRule="auto"/>
              <w:jc w:val="center"/>
            </w:pPr>
            <w:r w:rsidRPr="00380D2E">
              <w:t>0 c</w:t>
            </w:r>
          </w:p>
        </w:tc>
        <w:tc>
          <w:tcPr>
            <w:tcW w:w="1801" w:type="dxa"/>
            <w:tcBorders>
              <w:bottom w:val="single" w:sz="4" w:space="0" w:color="auto"/>
            </w:tcBorders>
            <w:vAlign w:val="bottom"/>
          </w:tcPr>
          <w:p w14:paraId="10A316B3" w14:textId="77777777" w:rsidR="00965334" w:rsidRPr="00380D2E" w:rsidRDefault="00965334" w:rsidP="006641A6">
            <w:pPr>
              <w:spacing w:line="259" w:lineRule="auto"/>
              <w:jc w:val="center"/>
            </w:pPr>
            <w:r w:rsidRPr="00380D2E">
              <w:t>100 d</w:t>
            </w:r>
          </w:p>
        </w:tc>
      </w:tr>
    </w:tbl>
    <w:p w14:paraId="3A7B9A13" w14:textId="77777777" w:rsidR="00965334" w:rsidRPr="00380D2E" w:rsidRDefault="00965334" w:rsidP="006641A6">
      <w:pPr>
        <w:jc w:val="both"/>
      </w:pPr>
      <w:r w:rsidRPr="00380D2E">
        <w:t xml:space="preserve">** Field samples with survival &gt;6% to </w:t>
      </w:r>
      <w:proofErr w:type="spellStart"/>
      <w:r w:rsidRPr="00380D2E">
        <w:t>cinmethylin</w:t>
      </w:r>
      <w:proofErr w:type="spellEnd"/>
      <w:r w:rsidRPr="00380D2E">
        <w:t xml:space="preserve"> and experimental 2021</w:t>
      </w:r>
      <w:r w:rsidR="00CB7679">
        <w:t xml:space="preserve"> </w:t>
      </w:r>
      <w:r w:rsidR="00CF0EDA" w:rsidRPr="00380D2E">
        <w:t xml:space="preserve">need further </w:t>
      </w:r>
      <w:r w:rsidRPr="00380D2E">
        <w:t>investigation</w:t>
      </w:r>
      <w:r w:rsidR="00CF0EDA" w:rsidRPr="00380D2E">
        <w:t xml:space="preserve">, assessment of inheritance </w:t>
      </w:r>
      <w:r w:rsidRPr="00380D2E">
        <w:t xml:space="preserve">and data </w:t>
      </w:r>
      <w:r w:rsidR="00CB7679">
        <w:t>are</w:t>
      </w:r>
      <w:r w:rsidR="00CB7679" w:rsidRPr="00380D2E">
        <w:t xml:space="preserve"> </w:t>
      </w:r>
      <w:r w:rsidRPr="00380D2E">
        <w:t>not reported.</w:t>
      </w:r>
    </w:p>
    <w:p w14:paraId="32D2A5B7" w14:textId="77777777" w:rsidR="00965334" w:rsidRPr="00380D2E" w:rsidRDefault="00965334" w:rsidP="006641A6">
      <w:pPr>
        <w:jc w:val="both"/>
      </w:pPr>
      <w:r w:rsidRPr="00380D2E">
        <w:br w:type="page"/>
      </w:r>
    </w:p>
    <w:p w14:paraId="562C3D03" w14:textId="77777777" w:rsidR="00965334" w:rsidRPr="00380D2E" w:rsidRDefault="00965334" w:rsidP="006641A6">
      <w:pPr>
        <w:pStyle w:val="Heading2"/>
      </w:pPr>
      <w:r w:rsidRPr="00380D2E">
        <w:lastRenderedPageBreak/>
        <w:t>Conclusion</w:t>
      </w:r>
    </w:p>
    <w:p w14:paraId="7A2D8CA1" w14:textId="77777777" w:rsidR="00965334" w:rsidRPr="00380D2E" w:rsidRDefault="00965334" w:rsidP="006641A6">
      <w:pPr>
        <w:jc w:val="both"/>
      </w:pPr>
      <w:r w:rsidRPr="00380D2E">
        <w:t xml:space="preserve">Annual ryegrass </w:t>
      </w:r>
      <w:r w:rsidR="00EE23EC">
        <w:t xml:space="preserve">and wild radish </w:t>
      </w:r>
      <w:r w:rsidR="00D906B3">
        <w:t>can rapidly</w:t>
      </w:r>
      <w:r w:rsidRPr="00380D2E">
        <w:t xml:space="preserve"> evolve multiple </w:t>
      </w:r>
      <w:r w:rsidR="00EE23EC">
        <w:t xml:space="preserve">herbicide </w:t>
      </w:r>
      <w:r w:rsidRPr="00380D2E">
        <w:t>resistance</w:t>
      </w:r>
      <w:r w:rsidR="00EE23EC">
        <w:t>.</w:t>
      </w:r>
      <w:r w:rsidRPr="00380D2E">
        <w:t xml:space="preserve"> </w:t>
      </w:r>
      <w:r w:rsidR="00EE23EC">
        <w:t xml:space="preserve">However, </w:t>
      </w:r>
      <w:r w:rsidR="00CB7679">
        <w:t xml:space="preserve">surprisingly, we did not find resistance to some herbicide mixtures in annual ryegrass. It </w:t>
      </w:r>
      <w:r w:rsidR="00EE23EC">
        <w:t>appears that s</w:t>
      </w:r>
      <w:r w:rsidR="00EE23EC" w:rsidRPr="00380D2E">
        <w:t xml:space="preserve">ome herbicide mixtures </w:t>
      </w:r>
      <w:r w:rsidR="00EE23EC">
        <w:t xml:space="preserve">have remained </w:t>
      </w:r>
      <w:r w:rsidR="00EE23EC" w:rsidRPr="00380D2E">
        <w:t>immune to resistance</w:t>
      </w:r>
      <w:r w:rsidR="00CB7679">
        <w:t xml:space="preserve">. </w:t>
      </w:r>
      <w:r w:rsidR="00EE23EC">
        <w:t>B</w:t>
      </w:r>
      <w:r w:rsidR="00EE23EC" w:rsidRPr="00380D2E">
        <w:t xml:space="preserve">y screening </w:t>
      </w:r>
      <w:r w:rsidR="00EE23EC">
        <w:t xml:space="preserve">and testing </w:t>
      </w:r>
      <w:r w:rsidR="00EE23EC" w:rsidRPr="00380D2E">
        <w:t xml:space="preserve">large numbers of field populations of annual ryegrass </w:t>
      </w:r>
      <w:r w:rsidR="00EE23EC">
        <w:t xml:space="preserve">and wild radish effective options for weed control can be identified and the </w:t>
      </w:r>
      <w:r w:rsidR="00EE23EC" w:rsidRPr="00380D2E">
        <w:t>results immediately conveyed to farmers and consultants</w:t>
      </w:r>
      <w:r w:rsidR="00EE23EC">
        <w:t>. If e</w:t>
      </w:r>
      <w:r w:rsidR="00EE23EC" w:rsidRPr="00380D2E">
        <w:t>ffec</w:t>
      </w:r>
      <w:r w:rsidR="00EE23EC">
        <w:t>tive herbicide mixtures of old</w:t>
      </w:r>
      <w:r w:rsidR="00EE23EC" w:rsidRPr="00380D2E">
        <w:t xml:space="preserve"> and new herbicides </w:t>
      </w:r>
      <w:r w:rsidR="00EE23EC">
        <w:t>are tested and deployed in fields infested by weeds</w:t>
      </w:r>
      <w:r w:rsidR="00206F32">
        <w:t xml:space="preserve"> that remain susceptible</w:t>
      </w:r>
      <w:r w:rsidR="00D906B3">
        <w:t xml:space="preserve"> to them</w:t>
      </w:r>
      <w:r w:rsidR="00EE23EC">
        <w:t>, then it is reasonable to believe that maximum weed control can be achieved</w:t>
      </w:r>
      <w:r w:rsidR="002059D2">
        <w:t>,</w:t>
      </w:r>
      <w:r w:rsidR="00EE23EC">
        <w:t xml:space="preserve"> and the </w:t>
      </w:r>
      <w:r w:rsidRPr="00380D2E">
        <w:t>risk of herbicide resistance</w:t>
      </w:r>
      <w:r w:rsidR="00EE23EC">
        <w:t xml:space="preserve"> evolution drastically reduced</w:t>
      </w:r>
      <w:r w:rsidRPr="00380D2E">
        <w:t xml:space="preserve">. </w:t>
      </w:r>
    </w:p>
    <w:p w14:paraId="4078F5F3" w14:textId="77777777" w:rsidR="008C6588" w:rsidRDefault="003B6DA6" w:rsidP="006641A6">
      <w:pPr>
        <w:pStyle w:val="Heading2"/>
      </w:pPr>
      <w:r w:rsidRPr="008F2638">
        <w:t>A</w:t>
      </w:r>
      <w:r w:rsidR="008C6588" w:rsidRPr="008F2638">
        <w:t>cknowledg</w:t>
      </w:r>
      <w:r w:rsidR="00581B73">
        <w:t>e</w:t>
      </w:r>
      <w:r w:rsidR="008C6588" w:rsidRPr="008F2638">
        <w:t>ments</w:t>
      </w:r>
    </w:p>
    <w:p w14:paraId="7B802FAF" w14:textId="77777777" w:rsidR="00965334" w:rsidRPr="00380D2E" w:rsidRDefault="00965334" w:rsidP="006641A6">
      <w:pPr>
        <w:jc w:val="both"/>
      </w:pPr>
      <w:r w:rsidRPr="00380D2E">
        <w:t>Part of the data presented were obtained as part of a project funded by the GRDC</w:t>
      </w:r>
      <w:r w:rsidR="00904AE8">
        <w:t xml:space="preserve"> </w:t>
      </w:r>
      <w:r w:rsidR="00D906B3">
        <w:t>[</w:t>
      </w:r>
      <w:r w:rsidR="00904AE8" w:rsidRPr="00380D2E">
        <w:t>Project Number: UWA1803 - Focus farms fighting weed foes in the Kwinana West Port Zone]</w:t>
      </w:r>
      <w:r w:rsidR="00D906B3">
        <w:t>. The</w:t>
      </w:r>
      <w:r w:rsidRPr="00380D2E">
        <w:t xml:space="preserve"> author would like to thank </w:t>
      </w:r>
      <w:r w:rsidR="00D906B3">
        <w:t xml:space="preserve">GRDC </w:t>
      </w:r>
      <w:r w:rsidRPr="00380D2E">
        <w:t>f</w:t>
      </w:r>
      <w:r w:rsidR="00D906B3">
        <w:t xml:space="preserve">or their continued support.  A </w:t>
      </w:r>
      <w:r w:rsidRPr="00380D2E">
        <w:t xml:space="preserve">special mention goes also to the GRDC West Team (Jo Wheeler, Elizabeth Von </w:t>
      </w:r>
      <w:proofErr w:type="spellStart"/>
      <w:r w:rsidRPr="00380D2E">
        <w:t>Perger</w:t>
      </w:r>
      <w:proofErr w:type="spellEnd"/>
      <w:r w:rsidRPr="00380D2E">
        <w:t xml:space="preserve"> and Curtis Liebeck) and the collaborators from the </w:t>
      </w:r>
      <w:proofErr w:type="spellStart"/>
      <w:r w:rsidRPr="00380D2E">
        <w:t>ConsultAg</w:t>
      </w:r>
      <w:proofErr w:type="spellEnd"/>
      <w:r w:rsidRPr="00380D2E">
        <w:t xml:space="preserve"> Team (Geoff </w:t>
      </w:r>
      <w:proofErr w:type="spellStart"/>
      <w:r w:rsidRPr="00380D2E">
        <w:t>Fosbery</w:t>
      </w:r>
      <w:proofErr w:type="spellEnd"/>
      <w:r w:rsidRPr="00380D2E">
        <w:t xml:space="preserve">, Brad Joyce, Garren Knell, Trent Butcher, Ben </w:t>
      </w:r>
      <w:proofErr w:type="spellStart"/>
      <w:r w:rsidRPr="00380D2E">
        <w:t>Whisson</w:t>
      </w:r>
      <w:proofErr w:type="spellEnd"/>
      <w:r w:rsidRPr="00380D2E">
        <w:t xml:space="preserve">) and to all growers and advisors involved including Trevor Syme, </w:t>
      </w:r>
      <w:proofErr w:type="spellStart"/>
      <w:r w:rsidRPr="00380D2E">
        <w:t>Dustyn</w:t>
      </w:r>
      <w:proofErr w:type="spellEnd"/>
      <w:r w:rsidRPr="00380D2E">
        <w:t xml:space="preserve"> Fry, Geoff Fisher, Gary Lang, Matt Panizza, Ryan Pearce, Derek Young, Scott Young, Russel Burgess and Kit </w:t>
      </w:r>
      <w:proofErr w:type="spellStart"/>
      <w:r w:rsidRPr="00380D2E">
        <w:t>Leake</w:t>
      </w:r>
      <w:proofErr w:type="spellEnd"/>
      <w:r w:rsidRPr="00380D2E">
        <w:t>.  The Australian Herbicide Resistance Initiative is a GRDC funded initiative in Australia</w:t>
      </w:r>
      <w:r w:rsidR="00D906B3">
        <w:t xml:space="preserve"> (GRDC code: UWA 00171)</w:t>
      </w:r>
      <w:r w:rsidRPr="00380D2E">
        <w:t>.</w:t>
      </w:r>
    </w:p>
    <w:p w14:paraId="7FB2468E" w14:textId="77777777" w:rsidR="003D0FC7" w:rsidRPr="00380D2E" w:rsidRDefault="003D0FC7" w:rsidP="006641A6">
      <w:pPr>
        <w:pStyle w:val="Heading2"/>
      </w:pPr>
      <w:r w:rsidRPr="00380D2E">
        <w:t>Contact details</w:t>
      </w:r>
    </w:p>
    <w:p w14:paraId="7549AAB2" w14:textId="77777777" w:rsidR="00965334" w:rsidRPr="00380D2E" w:rsidRDefault="00965334" w:rsidP="006641A6">
      <w:r w:rsidRPr="00380D2E">
        <w:t xml:space="preserve">Dr Roberto Busi </w:t>
      </w:r>
      <w:r w:rsidRPr="00380D2E">
        <w:br/>
        <w:t>35 Stirling Hwy</w:t>
      </w:r>
      <w:r w:rsidR="00664709">
        <w:br/>
      </w:r>
      <w:r w:rsidRPr="00380D2E">
        <w:t>Crawley</w:t>
      </w:r>
      <w:r w:rsidR="00664709">
        <w:br/>
      </w:r>
      <w:r w:rsidRPr="00380D2E">
        <w:t>6009 WA</w:t>
      </w:r>
      <w:r w:rsidR="00664709">
        <w:br/>
      </w:r>
      <w:r w:rsidRPr="00380D2E">
        <w:t>08 6488 1423, 0415 185 553</w:t>
      </w:r>
      <w:r w:rsidR="00664709">
        <w:br/>
      </w:r>
      <w:hyperlink r:id="rId10" w:history="1">
        <w:r w:rsidRPr="00380D2E">
          <w:t>roberto.busi@uwa.edu.au</w:t>
        </w:r>
      </w:hyperlink>
      <w:r w:rsidR="00664709">
        <w:br/>
      </w:r>
      <w:r w:rsidRPr="00380D2E">
        <w:t>Twitter handle: robbert115</w:t>
      </w:r>
    </w:p>
    <w:p w14:paraId="26266B46" w14:textId="77777777" w:rsidR="00CC0F48" w:rsidRPr="00B42632" w:rsidRDefault="00CC0F48" w:rsidP="006641A6">
      <w:pPr>
        <w:jc w:val="both"/>
        <w:rPr>
          <w:rFonts w:cs="Arial"/>
          <w:szCs w:val="20"/>
        </w:rPr>
      </w:pPr>
    </w:p>
    <w:sectPr w:rsidR="00CC0F48" w:rsidRPr="00B42632" w:rsidSect="009C1048">
      <w:footerReference w:type="first" r:id="rId1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D60D" w14:textId="77777777" w:rsidR="00906DEF" w:rsidRDefault="00906DEF" w:rsidP="00337B8D">
      <w:pPr>
        <w:spacing w:after="0" w:line="240" w:lineRule="auto"/>
      </w:pPr>
      <w:r>
        <w:separator/>
      </w:r>
    </w:p>
  </w:endnote>
  <w:endnote w:type="continuationSeparator" w:id="0">
    <w:p w14:paraId="3E5998AE" w14:textId="77777777" w:rsidR="00906DEF" w:rsidRDefault="00906DEF"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93A8" w14:textId="77777777" w:rsidR="00A77B5D" w:rsidRDefault="00A77B5D" w:rsidP="00757BF6">
    <w:pPr>
      <w:pStyle w:val="Footer"/>
      <w:tabs>
        <w:tab w:val="left" w:pos="7256"/>
        <w:tab w:val="right" w:pos="10466"/>
      </w:tabs>
    </w:pPr>
    <w:r>
      <w:rPr>
        <w:noProof/>
        <w:lang w:eastAsia="en-AU"/>
      </w:rPr>
      <w:drawing>
        <wp:anchor distT="0" distB="0" distL="114300" distR="114300" simplePos="0" relativeHeight="251658240" behindDoc="0" locked="0" layoutInCell="1" allowOverlap="1" wp14:anchorId="1A28ECF8" wp14:editId="2F17A5EF">
          <wp:simplePos x="0" y="0"/>
          <wp:positionH relativeFrom="column">
            <wp:posOffset>4981575</wp:posOffset>
          </wp:positionH>
          <wp:positionV relativeFrom="paragraph">
            <wp:posOffset>-494665</wp:posOffset>
          </wp:positionV>
          <wp:extent cx="1823005" cy="936000"/>
          <wp:effectExtent l="0" t="0" r="6350" b="0"/>
          <wp:wrapThrough wrapText="bothSides">
            <wp:wrapPolygon edited="0">
              <wp:start x="0" y="0"/>
              <wp:lineTo x="0" y="21102"/>
              <wp:lineTo x="21449" y="21102"/>
              <wp:lineTo x="2144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DCLogoStacked_CMYK.jpg"/>
                  <pic:cNvPicPr/>
                </pic:nvPicPr>
                <pic:blipFill>
                  <a:blip r:embed="rId1"/>
                  <a:stretch>
                    <a:fillRect/>
                  </a:stretch>
                </pic:blipFill>
                <pic:spPr>
                  <a:xfrm>
                    <a:off x="0" y="0"/>
                    <a:ext cx="1823005" cy="9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3EC64" w14:textId="77777777" w:rsidR="00906DEF" w:rsidRDefault="00906DEF" w:rsidP="00337B8D">
      <w:pPr>
        <w:spacing w:after="0" w:line="240" w:lineRule="auto"/>
      </w:pPr>
      <w:r>
        <w:separator/>
      </w:r>
    </w:p>
  </w:footnote>
  <w:footnote w:type="continuationSeparator" w:id="0">
    <w:p w14:paraId="3C721B76" w14:textId="77777777" w:rsidR="00906DEF" w:rsidRDefault="00906DEF" w:rsidP="00337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A67637"/>
    <w:multiLevelType w:val="hybridMultilevel"/>
    <w:tmpl w:val="96B04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75B0C"/>
    <w:multiLevelType w:val="hybridMultilevel"/>
    <w:tmpl w:val="0D2E0B62"/>
    <w:lvl w:ilvl="0" w:tplc="C88C590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0424EC5"/>
    <w:multiLevelType w:val="hybridMultilevel"/>
    <w:tmpl w:val="1F5C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B503C"/>
    <w:multiLevelType w:val="hybridMultilevel"/>
    <w:tmpl w:val="8E281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8331C"/>
    <w:multiLevelType w:val="hybridMultilevel"/>
    <w:tmpl w:val="EB5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70E43"/>
    <w:multiLevelType w:val="hybridMultilevel"/>
    <w:tmpl w:val="F6384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A0B36"/>
    <w:multiLevelType w:val="hybridMultilevel"/>
    <w:tmpl w:val="9AE0ED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278C5"/>
    <w:multiLevelType w:val="hybridMultilevel"/>
    <w:tmpl w:val="C6CE7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B91DAD"/>
    <w:multiLevelType w:val="hybridMultilevel"/>
    <w:tmpl w:val="43A8E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7773F6"/>
    <w:multiLevelType w:val="hybridMultilevel"/>
    <w:tmpl w:val="74E4C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4B4651"/>
    <w:multiLevelType w:val="hybridMultilevel"/>
    <w:tmpl w:val="9DA4132C"/>
    <w:lvl w:ilvl="0" w:tplc="555C0E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F02097"/>
    <w:multiLevelType w:val="hybridMultilevel"/>
    <w:tmpl w:val="F120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82D9C"/>
    <w:multiLevelType w:val="hybridMultilevel"/>
    <w:tmpl w:val="A3A8CC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4"/>
  </w:num>
  <w:num w:numId="5">
    <w:abstractNumId w:val="15"/>
  </w:num>
  <w:num w:numId="6">
    <w:abstractNumId w:val="11"/>
  </w:num>
  <w:num w:numId="7">
    <w:abstractNumId w:val="1"/>
  </w:num>
  <w:num w:numId="8">
    <w:abstractNumId w:val="8"/>
  </w:num>
  <w:num w:numId="9">
    <w:abstractNumId w:val="5"/>
  </w:num>
  <w:num w:numId="10">
    <w:abstractNumId w:val="14"/>
  </w:num>
  <w:num w:numId="11">
    <w:abstractNumId w:val="12"/>
  </w:num>
  <w:num w:numId="12">
    <w:abstractNumId w:val="7"/>
  </w:num>
  <w:num w:numId="13">
    <w:abstractNumId w:val="13"/>
  </w:num>
  <w:num w:numId="14">
    <w:abstractNumId w:val="2"/>
  </w:num>
  <w:num w:numId="15">
    <w:abstractNumId w:val="17"/>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xMbQwMzMxMDI0NDRV0lEKTi0uzszPAykwqQUAugUhLywAAAA="/>
  </w:docVars>
  <w:rsids>
    <w:rsidRoot w:val="00E4669C"/>
    <w:rsid w:val="00003443"/>
    <w:rsid w:val="00007399"/>
    <w:rsid w:val="0001056C"/>
    <w:rsid w:val="000116E2"/>
    <w:rsid w:val="000273CE"/>
    <w:rsid w:val="000321B8"/>
    <w:rsid w:val="00036348"/>
    <w:rsid w:val="000426BA"/>
    <w:rsid w:val="000427D3"/>
    <w:rsid w:val="00042DAC"/>
    <w:rsid w:val="00044AAF"/>
    <w:rsid w:val="00046FF4"/>
    <w:rsid w:val="00050574"/>
    <w:rsid w:val="00060C19"/>
    <w:rsid w:val="00070B7C"/>
    <w:rsid w:val="00073215"/>
    <w:rsid w:val="000733FC"/>
    <w:rsid w:val="000752E2"/>
    <w:rsid w:val="00084ED8"/>
    <w:rsid w:val="0008625F"/>
    <w:rsid w:val="000862E4"/>
    <w:rsid w:val="00091391"/>
    <w:rsid w:val="00092842"/>
    <w:rsid w:val="00093B53"/>
    <w:rsid w:val="000940E0"/>
    <w:rsid w:val="00097468"/>
    <w:rsid w:val="00097E78"/>
    <w:rsid w:val="000A0C79"/>
    <w:rsid w:val="000A7F9B"/>
    <w:rsid w:val="000B09DC"/>
    <w:rsid w:val="000B44C2"/>
    <w:rsid w:val="000C0B9F"/>
    <w:rsid w:val="000C0FBD"/>
    <w:rsid w:val="000C2365"/>
    <w:rsid w:val="000C34AF"/>
    <w:rsid w:val="000C358B"/>
    <w:rsid w:val="000C44BF"/>
    <w:rsid w:val="000C540A"/>
    <w:rsid w:val="000C697F"/>
    <w:rsid w:val="000D097F"/>
    <w:rsid w:val="000D10A8"/>
    <w:rsid w:val="000D2330"/>
    <w:rsid w:val="000D40E5"/>
    <w:rsid w:val="000D43AF"/>
    <w:rsid w:val="000D74BF"/>
    <w:rsid w:val="000D7FA9"/>
    <w:rsid w:val="000E16BB"/>
    <w:rsid w:val="000E1732"/>
    <w:rsid w:val="000E2EF0"/>
    <w:rsid w:val="000F6530"/>
    <w:rsid w:val="000F676A"/>
    <w:rsid w:val="000F70B8"/>
    <w:rsid w:val="0010096C"/>
    <w:rsid w:val="00104FE6"/>
    <w:rsid w:val="001166FA"/>
    <w:rsid w:val="00117CC0"/>
    <w:rsid w:val="00120BF4"/>
    <w:rsid w:val="00123363"/>
    <w:rsid w:val="00123D0F"/>
    <w:rsid w:val="00125152"/>
    <w:rsid w:val="001259FA"/>
    <w:rsid w:val="00125C47"/>
    <w:rsid w:val="001328B9"/>
    <w:rsid w:val="0013452C"/>
    <w:rsid w:val="00134E51"/>
    <w:rsid w:val="001352A4"/>
    <w:rsid w:val="00135755"/>
    <w:rsid w:val="001400E8"/>
    <w:rsid w:val="001406E2"/>
    <w:rsid w:val="00144321"/>
    <w:rsid w:val="00145EB3"/>
    <w:rsid w:val="001469D0"/>
    <w:rsid w:val="00152906"/>
    <w:rsid w:val="00155F64"/>
    <w:rsid w:val="00156255"/>
    <w:rsid w:val="00160E32"/>
    <w:rsid w:val="00164D31"/>
    <w:rsid w:val="0016502F"/>
    <w:rsid w:val="001667D2"/>
    <w:rsid w:val="0017132B"/>
    <w:rsid w:val="00171EB4"/>
    <w:rsid w:val="0017364C"/>
    <w:rsid w:val="00177B05"/>
    <w:rsid w:val="0018363F"/>
    <w:rsid w:val="00184F45"/>
    <w:rsid w:val="001861A1"/>
    <w:rsid w:val="001A1B99"/>
    <w:rsid w:val="001A4F04"/>
    <w:rsid w:val="001A63A0"/>
    <w:rsid w:val="001A7087"/>
    <w:rsid w:val="001B2CC1"/>
    <w:rsid w:val="001B2D47"/>
    <w:rsid w:val="001B6B2E"/>
    <w:rsid w:val="001B7074"/>
    <w:rsid w:val="001C3698"/>
    <w:rsid w:val="001C6E58"/>
    <w:rsid w:val="001D199C"/>
    <w:rsid w:val="001E0954"/>
    <w:rsid w:val="001E47BA"/>
    <w:rsid w:val="001E5445"/>
    <w:rsid w:val="001E730E"/>
    <w:rsid w:val="001F0D89"/>
    <w:rsid w:val="001F33EA"/>
    <w:rsid w:val="001F3FE7"/>
    <w:rsid w:val="001F6493"/>
    <w:rsid w:val="001F64F7"/>
    <w:rsid w:val="002059D2"/>
    <w:rsid w:val="00206F32"/>
    <w:rsid w:val="0021027A"/>
    <w:rsid w:val="00210EFA"/>
    <w:rsid w:val="00212D16"/>
    <w:rsid w:val="00214EC2"/>
    <w:rsid w:val="0021693A"/>
    <w:rsid w:val="002169CF"/>
    <w:rsid w:val="00217614"/>
    <w:rsid w:val="00220C06"/>
    <w:rsid w:val="00223D64"/>
    <w:rsid w:val="002321F1"/>
    <w:rsid w:val="00233CB5"/>
    <w:rsid w:val="00234FBD"/>
    <w:rsid w:val="0023571C"/>
    <w:rsid w:val="00235A75"/>
    <w:rsid w:val="00237D8B"/>
    <w:rsid w:val="00240386"/>
    <w:rsid w:val="00240FFF"/>
    <w:rsid w:val="00243985"/>
    <w:rsid w:val="002465A4"/>
    <w:rsid w:val="00247C30"/>
    <w:rsid w:val="0025563E"/>
    <w:rsid w:val="00257DB9"/>
    <w:rsid w:val="0026034E"/>
    <w:rsid w:val="00260EAF"/>
    <w:rsid w:val="0026656B"/>
    <w:rsid w:val="0026659C"/>
    <w:rsid w:val="002714D8"/>
    <w:rsid w:val="00273B23"/>
    <w:rsid w:val="00274D95"/>
    <w:rsid w:val="002752AB"/>
    <w:rsid w:val="00286716"/>
    <w:rsid w:val="0029530A"/>
    <w:rsid w:val="002962F7"/>
    <w:rsid w:val="00297163"/>
    <w:rsid w:val="002A1303"/>
    <w:rsid w:val="002A29B4"/>
    <w:rsid w:val="002A2DBC"/>
    <w:rsid w:val="002A3E0E"/>
    <w:rsid w:val="002A4F1C"/>
    <w:rsid w:val="002A6361"/>
    <w:rsid w:val="002B5CD1"/>
    <w:rsid w:val="002C19C4"/>
    <w:rsid w:val="002C40A3"/>
    <w:rsid w:val="002C7940"/>
    <w:rsid w:val="002D3B9A"/>
    <w:rsid w:val="002D406F"/>
    <w:rsid w:val="002D6767"/>
    <w:rsid w:val="002E1094"/>
    <w:rsid w:val="002E44E8"/>
    <w:rsid w:val="002E69F6"/>
    <w:rsid w:val="002E7C14"/>
    <w:rsid w:val="002F3EFE"/>
    <w:rsid w:val="002F5260"/>
    <w:rsid w:val="003002B2"/>
    <w:rsid w:val="00300D9F"/>
    <w:rsid w:val="00303A9D"/>
    <w:rsid w:val="00304805"/>
    <w:rsid w:val="0030665B"/>
    <w:rsid w:val="00320093"/>
    <w:rsid w:val="003259EB"/>
    <w:rsid w:val="00326034"/>
    <w:rsid w:val="00326D36"/>
    <w:rsid w:val="00332C7F"/>
    <w:rsid w:val="0033395D"/>
    <w:rsid w:val="003351B7"/>
    <w:rsid w:val="00337B8D"/>
    <w:rsid w:val="00342658"/>
    <w:rsid w:val="00342839"/>
    <w:rsid w:val="00343E07"/>
    <w:rsid w:val="003467D5"/>
    <w:rsid w:val="00346968"/>
    <w:rsid w:val="00353E1E"/>
    <w:rsid w:val="00354FBF"/>
    <w:rsid w:val="0035600F"/>
    <w:rsid w:val="003564F1"/>
    <w:rsid w:val="00360B59"/>
    <w:rsid w:val="003648CD"/>
    <w:rsid w:val="00366680"/>
    <w:rsid w:val="00371239"/>
    <w:rsid w:val="00380226"/>
    <w:rsid w:val="00380D2E"/>
    <w:rsid w:val="003812AB"/>
    <w:rsid w:val="003814B2"/>
    <w:rsid w:val="00381AC1"/>
    <w:rsid w:val="00382492"/>
    <w:rsid w:val="003842E7"/>
    <w:rsid w:val="00390717"/>
    <w:rsid w:val="00391581"/>
    <w:rsid w:val="003921EF"/>
    <w:rsid w:val="00392B47"/>
    <w:rsid w:val="00397CE7"/>
    <w:rsid w:val="003A10BD"/>
    <w:rsid w:val="003A1242"/>
    <w:rsid w:val="003A327A"/>
    <w:rsid w:val="003A370A"/>
    <w:rsid w:val="003A794F"/>
    <w:rsid w:val="003B568D"/>
    <w:rsid w:val="003B6DA6"/>
    <w:rsid w:val="003C1436"/>
    <w:rsid w:val="003C1766"/>
    <w:rsid w:val="003C25E4"/>
    <w:rsid w:val="003C5176"/>
    <w:rsid w:val="003D0FC7"/>
    <w:rsid w:val="003D2721"/>
    <w:rsid w:val="003D5492"/>
    <w:rsid w:val="003D7050"/>
    <w:rsid w:val="003D76BE"/>
    <w:rsid w:val="003E1C52"/>
    <w:rsid w:val="003E56B9"/>
    <w:rsid w:val="003E6D0C"/>
    <w:rsid w:val="003F0604"/>
    <w:rsid w:val="003F0CF0"/>
    <w:rsid w:val="003F268E"/>
    <w:rsid w:val="003F288C"/>
    <w:rsid w:val="003F2918"/>
    <w:rsid w:val="003F75A7"/>
    <w:rsid w:val="00400728"/>
    <w:rsid w:val="00402ECE"/>
    <w:rsid w:val="00406466"/>
    <w:rsid w:val="004104BD"/>
    <w:rsid w:val="00411620"/>
    <w:rsid w:val="00411691"/>
    <w:rsid w:val="0041316D"/>
    <w:rsid w:val="0041613D"/>
    <w:rsid w:val="00417DBE"/>
    <w:rsid w:val="004208F0"/>
    <w:rsid w:val="00421212"/>
    <w:rsid w:val="0042325E"/>
    <w:rsid w:val="00424562"/>
    <w:rsid w:val="00425119"/>
    <w:rsid w:val="0042650B"/>
    <w:rsid w:val="00431C53"/>
    <w:rsid w:val="0043295B"/>
    <w:rsid w:val="00432B5C"/>
    <w:rsid w:val="00437C1C"/>
    <w:rsid w:val="004434EF"/>
    <w:rsid w:val="004435C8"/>
    <w:rsid w:val="00443B07"/>
    <w:rsid w:val="004467BD"/>
    <w:rsid w:val="00447235"/>
    <w:rsid w:val="004479DE"/>
    <w:rsid w:val="00450173"/>
    <w:rsid w:val="00452B77"/>
    <w:rsid w:val="00453182"/>
    <w:rsid w:val="0045503F"/>
    <w:rsid w:val="00457538"/>
    <w:rsid w:val="004602AD"/>
    <w:rsid w:val="00463B38"/>
    <w:rsid w:val="00465795"/>
    <w:rsid w:val="004677E8"/>
    <w:rsid w:val="00471BD2"/>
    <w:rsid w:val="00471FBA"/>
    <w:rsid w:val="00473657"/>
    <w:rsid w:val="004740F1"/>
    <w:rsid w:val="00474400"/>
    <w:rsid w:val="00474B73"/>
    <w:rsid w:val="00477560"/>
    <w:rsid w:val="00482B15"/>
    <w:rsid w:val="004846AA"/>
    <w:rsid w:val="00485B2A"/>
    <w:rsid w:val="00495D0A"/>
    <w:rsid w:val="00497440"/>
    <w:rsid w:val="0049796C"/>
    <w:rsid w:val="004A41F7"/>
    <w:rsid w:val="004A5F9A"/>
    <w:rsid w:val="004B6B78"/>
    <w:rsid w:val="004C2C4B"/>
    <w:rsid w:val="004C5A01"/>
    <w:rsid w:val="004D1138"/>
    <w:rsid w:val="004D153E"/>
    <w:rsid w:val="004D18B9"/>
    <w:rsid w:val="004D1C1D"/>
    <w:rsid w:val="004D3B83"/>
    <w:rsid w:val="004D5328"/>
    <w:rsid w:val="004D5C1D"/>
    <w:rsid w:val="004D61F3"/>
    <w:rsid w:val="004D708B"/>
    <w:rsid w:val="004E423B"/>
    <w:rsid w:val="004E736C"/>
    <w:rsid w:val="004E7B06"/>
    <w:rsid w:val="004F0C79"/>
    <w:rsid w:val="004F3444"/>
    <w:rsid w:val="004F4C0B"/>
    <w:rsid w:val="004F7B8D"/>
    <w:rsid w:val="00500B59"/>
    <w:rsid w:val="00500FED"/>
    <w:rsid w:val="00501D6F"/>
    <w:rsid w:val="0050267A"/>
    <w:rsid w:val="00507EA9"/>
    <w:rsid w:val="00511EDE"/>
    <w:rsid w:val="00512979"/>
    <w:rsid w:val="00512EA1"/>
    <w:rsid w:val="0052028E"/>
    <w:rsid w:val="005218EB"/>
    <w:rsid w:val="005224EE"/>
    <w:rsid w:val="005228FE"/>
    <w:rsid w:val="00523D8A"/>
    <w:rsid w:val="00530BF6"/>
    <w:rsid w:val="00532BF4"/>
    <w:rsid w:val="00533F7B"/>
    <w:rsid w:val="00543A93"/>
    <w:rsid w:val="00544206"/>
    <w:rsid w:val="00545B2E"/>
    <w:rsid w:val="00554627"/>
    <w:rsid w:val="00554DF9"/>
    <w:rsid w:val="00556A62"/>
    <w:rsid w:val="00557C25"/>
    <w:rsid w:val="00560D5F"/>
    <w:rsid w:val="00564322"/>
    <w:rsid w:val="005665BC"/>
    <w:rsid w:val="00567482"/>
    <w:rsid w:val="00573014"/>
    <w:rsid w:val="00573420"/>
    <w:rsid w:val="00573EB4"/>
    <w:rsid w:val="00574B21"/>
    <w:rsid w:val="0057626A"/>
    <w:rsid w:val="00576276"/>
    <w:rsid w:val="00576829"/>
    <w:rsid w:val="00577E9A"/>
    <w:rsid w:val="00581B73"/>
    <w:rsid w:val="00584BA4"/>
    <w:rsid w:val="00590706"/>
    <w:rsid w:val="005916B9"/>
    <w:rsid w:val="0059217E"/>
    <w:rsid w:val="00592C65"/>
    <w:rsid w:val="00593697"/>
    <w:rsid w:val="00593B9B"/>
    <w:rsid w:val="00593FD0"/>
    <w:rsid w:val="00596D95"/>
    <w:rsid w:val="005A02C4"/>
    <w:rsid w:val="005A4FE7"/>
    <w:rsid w:val="005B0200"/>
    <w:rsid w:val="005B1514"/>
    <w:rsid w:val="005B3137"/>
    <w:rsid w:val="005B444E"/>
    <w:rsid w:val="005B7DD6"/>
    <w:rsid w:val="005C0B9A"/>
    <w:rsid w:val="005C1890"/>
    <w:rsid w:val="005C2711"/>
    <w:rsid w:val="005C37E7"/>
    <w:rsid w:val="005C5511"/>
    <w:rsid w:val="005C688E"/>
    <w:rsid w:val="005D0257"/>
    <w:rsid w:val="005D02C5"/>
    <w:rsid w:val="005D08BF"/>
    <w:rsid w:val="005D0E27"/>
    <w:rsid w:val="005D442B"/>
    <w:rsid w:val="005D7136"/>
    <w:rsid w:val="005E3342"/>
    <w:rsid w:val="005E4DDE"/>
    <w:rsid w:val="005F0357"/>
    <w:rsid w:val="005F0C06"/>
    <w:rsid w:val="005F61EE"/>
    <w:rsid w:val="005F6617"/>
    <w:rsid w:val="00600C8C"/>
    <w:rsid w:val="006033F3"/>
    <w:rsid w:val="00604C77"/>
    <w:rsid w:val="00610326"/>
    <w:rsid w:val="00615C72"/>
    <w:rsid w:val="00616DBA"/>
    <w:rsid w:val="006171E7"/>
    <w:rsid w:val="00622B88"/>
    <w:rsid w:val="00622F71"/>
    <w:rsid w:val="00623CFE"/>
    <w:rsid w:val="00631318"/>
    <w:rsid w:val="00632CEE"/>
    <w:rsid w:val="00633A2C"/>
    <w:rsid w:val="00634680"/>
    <w:rsid w:val="00636999"/>
    <w:rsid w:val="00641145"/>
    <w:rsid w:val="00642BCB"/>
    <w:rsid w:val="0064577B"/>
    <w:rsid w:val="00647BA9"/>
    <w:rsid w:val="00654B47"/>
    <w:rsid w:val="00663CAC"/>
    <w:rsid w:val="006641A6"/>
    <w:rsid w:val="00664709"/>
    <w:rsid w:val="00664DF6"/>
    <w:rsid w:val="00666B37"/>
    <w:rsid w:val="00671DB6"/>
    <w:rsid w:val="00675041"/>
    <w:rsid w:val="00675529"/>
    <w:rsid w:val="00675BF7"/>
    <w:rsid w:val="00676791"/>
    <w:rsid w:val="00676FD3"/>
    <w:rsid w:val="00682727"/>
    <w:rsid w:val="006858DF"/>
    <w:rsid w:val="006862ED"/>
    <w:rsid w:val="0068703A"/>
    <w:rsid w:val="00690F60"/>
    <w:rsid w:val="00691986"/>
    <w:rsid w:val="006927C9"/>
    <w:rsid w:val="006942D0"/>
    <w:rsid w:val="00696C43"/>
    <w:rsid w:val="00697522"/>
    <w:rsid w:val="006A2427"/>
    <w:rsid w:val="006A4722"/>
    <w:rsid w:val="006A4A0B"/>
    <w:rsid w:val="006A6E89"/>
    <w:rsid w:val="006B010C"/>
    <w:rsid w:val="006B28A1"/>
    <w:rsid w:val="006B357D"/>
    <w:rsid w:val="006B38D6"/>
    <w:rsid w:val="006B6CCD"/>
    <w:rsid w:val="006B7D80"/>
    <w:rsid w:val="006C00CC"/>
    <w:rsid w:val="006C1846"/>
    <w:rsid w:val="006C4883"/>
    <w:rsid w:val="006D06A6"/>
    <w:rsid w:val="006D4FF4"/>
    <w:rsid w:val="006D715F"/>
    <w:rsid w:val="006E1E92"/>
    <w:rsid w:val="006E2FC7"/>
    <w:rsid w:val="006E6DE0"/>
    <w:rsid w:val="00700F03"/>
    <w:rsid w:val="007010D9"/>
    <w:rsid w:val="00702C01"/>
    <w:rsid w:val="007034F7"/>
    <w:rsid w:val="00704E03"/>
    <w:rsid w:val="007050CA"/>
    <w:rsid w:val="00705CFB"/>
    <w:rsid w:val="00706781"/>
    <w:rsid w:val="0071146B"/>
    <w:rsid w:val="007120B7"/>
    <w:rsid w:val="00715F0B"/>
    <w:rsid w:val="0071779A"/>
    <w:rsid w:val="00722A96"/>
    <w:rsid w:val="00727F89"/>
    <w:rsid w:val="00730156"/>
    <w:rsid w:val="00736600"/>
    <w:rsid w:val="00741F31"/>
    <w:rsid w:val="00742888"/>
    <w:rsid w:val="00743102"/>
    <w:rsid w:val="007472EC"/>
    <w:rsid w:val="0074791F"/>
    <w:rsid w:val="00751191"/>
    <w:rsid w:val="00753D03"/>
    <w:rsid w:val="00753FFC"/>
    <w:rsid w:val="00757BF6"/>
    <w:rsid w:val="00757FA2"/>
    <w:rsid w:val="007601E9"/>
    <w:rsid w:val="00761627"/>
    <w:rsid w:val="00762B4E"/>
    <w:rsid w:val="00763CC9"/>
    <w:rsid w:val="007666AA"/>
    <w:rsid w:val="007667CC"/>
    <w:rsid w:val="00766C8D"/>
    <w:rsid w:val="00776BE8"/>
    <w:rsid w:val="00782E90"/>
    <w:rsid w:val="00785A6E"/>
    <w:rsid w:val="00787B7E"/>
    <w:rsid w:val="00794203"/>
    <w:rsid w:val="00796ABF"/>
    <w:rsid w:val="00797FB4"/>
    <w:rsid w:val="007A0153"/>
    <w:rsid w:val="007A0E21"/>
    <w:rsid w:val="007A3F1F"/>
    <w:rsid w:val="007A449D"/>
    <w:rsid w:val="007A6B63"/>
    <w:rsid w:val="007B6648"/>
    <w:rsid w:val="007B7E79"/>
    <w:rsid w:val="007C2F54"/>
    <w:rsid w:val="007C49C3"/>
    <w:rsid w:val="007C49F0"/>
    <w:rsid w:val="007C75C1"/>
    <w:rsid w:val="007D05EC"/>
    <w:rsid w:val="007D471A"/>
    <w:rsid w:val="007D4ACF"/>
    <w:rsid w:val="007D5157"/>
    <w:rsid w:val="007E1B20"/>
    <w:rsid w:val="007E3DA7"/>
    <w:rsid w:val="007E68C6"/>
    <w:rsid w:val="007F1803"/>
    <w:rsid w:val="007F3215"/>
    <w:rsid w:val="007F364F"/>
    <w:rsid w:val="007F4F3B"/>
    <w:rsid w:val="007F556D"/>
    <w:rsid w:val="007F612F"/>
    <w:rsid w:val="0080050F"/>
    <w:rsid w:val="008022D7"/>
    <w:rsid w:val="00814359"/>
    <w:rsid w:val="008146F4"/>
    <w:rsid w:val="00820A34"/>
    <w:rsid w:val="00820B74"/>
    <w:rsid w:val="008246B8"/>
    <w:rsid w:val="0082484C"/>
    <w:rsid w:val="00825131"/>
    <w:rsid w:val="0083047B"/>
    <w:rsid w:val="00831AFB"/>
    <w:rsid w:val="0083227C"/>
    <w:rsid w:val="008361A2"/>
    <w:rsid w:val="00836EC7"/>
    <w:rsid w:val="00840813"/>
    <w:rsid w:val="008434DE"/>
    <w:rsid w:val="0084514F"/>
    <w:rsid w:val="008453A2"/>
    <w:rsid w:val="0084577C"/>
    <w:rsid w:val="0084791E"/>
    <w:rsid w:val="00852B0C"/>
    <w:rsid w:val="00854C81"/>
    <w:rsid w:val="00855673"/>
    <w:rsid w:val="008575DE"/>
    <w:rsid w:val="008629D0"/>
    <w:rsid w:val="008634FB"/>
    <w:rsid w:val="0086600F"/>
    <w:rsid w:val="00866885"/>
    <w:rsid w:val="0087458F"/>
    <w:rsid w:val="00877FD9"/>
    <w:rsid w:val="008821B0"/>
    <w:rsid w:val="00885BF6"/>
    <w:rsid w:val="0088601E"/>
    <w:rsid w:val="00893DCC"/>
    <w:rsid w:val="00894B11"/>
    <w:rsid w:val="00897B1A"/>
    <w:rsid w:val="00897DA6"/>
    <w:rsid w:val="008A1134"/>
    <w:rsid w:val="008A3AEE"/>
    <w:rsid w:val="008A4DE8"/>
    <w:rsid w:val="008A7E99"/>
    <w:rsid w:val="008B3C34"/>
    <w:rsid w:val="008C0926"/>
    <w:rsid w:val="008C2052"/>
    <w:rsid w:val="008C3884"/>
    <w:rsid w:val="008C3A51"/>
    <w:rsid w:val="008C43BA"/>
    <w:rsid w:val="008C6588"/>
    <w:rsid w:val="008D141B"/>
    <w:rsid w:val="008D2909"/>
    <w:rsid w:val="008D674D"/>
    <w:rsid w:val="008E3D0C"/>
    <w:rsid w:val="008E421C"/>
    <w:rsid w:val="008E4543"/>
    <w:rsid w:val="008E4D8E"/>
    <w:rsid w:val="008E5BBC"/>
    <w:rsid w:val="008E62C5"/>
    <w:rsid w:val="008E6A7B"/>
    <w:rsid w:val="008F2638"/>
    <w:rsid w:val="008F339D"/>
    <w:rsid w:val="008F6926"/>
    <w:rsid w:val="00902BE8"/>
    <w:rsid w:val="00904AE8"/>
    <w:rsid w:val="009053B8"/>
    <w:rsid w:val="00905BB9"/>
    <w:rsid w:val="00906DEF"/>
    <w:rsid w:val="00906EAB"/>
    <w:rsid w:val="00910806"/>
    <w:rsid w:val="009138EC"/>
    <w:rsid w:val="00917755"/>
    <w:rsid w:val="00917FEC"/>
    <w:rsid w:val="0093103B"/>
    <w:rsid w:val="00932C03"/>
    <w:rsid w:val="009350D7"/>
    <w:rsid w:val="00940AB9"/>
    <w:rsid w:val="00941621"/>
    <w:rsid w:val="00943CBB"/>
    <w:rsid w:val="009467D5"/>
    <w:rsid w:val="00950010"/>
    <w:rsid w:val="0095020E"/>
    <w:rsid w:val="009640DD"/>
    <w:rsid w:val="00964A59"/>
    <w:rsid w:val="00965334"/>
    <w:rsid w:val="00967796"/>
    <w:rsid w:val="009677B7"/>
    <w:rsid w:val="00970451"/>
    <w:rsid w:val="00971CC5"/>
    <w:rsid w:val="00972827"/>
    <w:rsid w:val="00984B2B"/>
    <w:rsid w:val="00984C10"/>
    <w:rsid w:val="00986371"/>
    <w:rsid w:val="00987182"/>
    <w:rsid w:val="00992D73"/>
    <w:rsid w:val="009938E2"/>
    <w:rsid w:val="009956BD"/>
    <w:rsid w:val="00995C3D"/>
    <w:rsid w:val="009A0738"/>
    <w:rsid w:val="009A0BF5"/>
    <w:rsid w:val="009A1740"/>
    <w:rsid w:val="009A6DDF"/>
    <w:rsid w:val="009B0698"/>
    <w:rsid w:val="009B0793"/>
    <w:rsid w:val="009B1BB0"/>
    <w:rsid w:val="009C0FE3"/>
    <w:rsid w:val="009C1048"/>
    <w:rsid w:val="009C5264"/>
    <w:rsid w:val="009C683F"/>
    <w:rsid w:val="009D4F6A"/>
    <w:rsid w:val="009D6F54"/>
    <w:rsid w:val="009E0AB3"/>
    <w:rsid w:val="009E0DCA"/>
    <w:rsid w:val="009E2614"/>
    <w:rsid w:val="009E549E"/>
    <w:rsid w:val="009E5F1A"/>
    <w:rsid w:val="009F52BB"/>
    <w:rsid w:val="009F6159"/>
    <w:rsid w:val="009F70B9"/>
    <w:rsid w:val="009F7C72"/>
    <w:rsid w:val="00A00C87"/>
    <w:rsid w:val="00A02D96"/>
    <w:rsid w:val="00A0469F"/>
    <w:rsid w:val="00A1527C"/>
    <w:rsid w:val="00A16192"/>
    <w:rsid w:val="00A16BA3"/>
    <w:rsid w:val="00A27DBE"/>
    <w:rsid w:val="00A30CEB"/>
    <w:rsid w:val="00A3188E"/>
    <w:rsid w:val="00A32033"/>
    <w:rsid w:val="00A32129"/>
    <w:rsid w:val="00A3750E"/>
    <w:rsid w:val="00A424DC"/>
    <w:rsid w:val="00A450E8"/>
    <w:rsid w:val="00A470B1"/>
    <w:rsid w:val="00A52296"/>
    <w:rsid w:val="00A526DB"/>
    <w:rsid w:val="00A52835"/>
    <w:rsid w:val="00A5383F"/>
    <w:rsid w:val="00A665FD"/>
    <w:rsid w:val="00A677A8"/>
    <w:rsid w:val="00A677AD"/>
    <w:rsid w:val="00A7134E"/>
    <w:rsid w:val="00A715A4"/>
    <w:rsid w:val="00A77744"/>
    <w:rsid w:val="00A77B5D"/>
    <w:rsid w:val="00A8002B"/>
    <w:rsid w:val="00A815A3"/>
    <w:rsid w:val="00A81CC8"/>
    <w:rsid w:val="00A83DB0"/>
    <w:rsid w:val="00A87737"/>
    <w:rsid w:val="00A942B6"/>
    <w:rsid w:val="00AA1FDF"/>
    <w:rsid w:val="00AA31BE"/>
    <w:rsid w:val="00AA338C"/>
    <w:rsid w:val="00AA710C"/>
    <w:rsid w:val="00AB002A"/>
    <w:rsid w:val="00AB0CD7"/>
    <w:rsid w:val="00AB1E18"/>
    <w:rsid w:val="00AB2D37"/>
    <w:rsid w:val="00AB5269"/>
    <w:rsid w:val="00AC27C9"/>
    <w:rsid w:val="00AC46DB"/>
    <w:rsid w:val="00AC4A37"/>
    <w:rsid w:val="00AC67F4"/>
    <w:rsid w:val="00AD106A"/>
    <w:rsid w:val="00AD598C"/>
    <w:rsid w:val="00AE07A3"/>
    <w:rsid w:val="00AE10F8"/>
    <w:rsid w:val="00AE1AA6"/>
    <w:rsid w:val="00AE345C"/>
    <w:rsid w:val="00AE4766"/>
    <w:rsid w:val="00AE4C50"/>
    <w:rsid w:val="00AF0BAD"/>
    <w:rsid w:val="00AF15FC"/>
    <w:rsid w:val="00AF23F3"/>
    <w:rsid w:val="00AF2E77"/>
    <w:rsid w:val="00AF3C16"/>
    <w:rsid w:val="00AF4A47"/>
    <w:rsid w:val="00AF628F"/>
    <w:rsid w:val="00AF7DDF"/>
    <w:rsid w:val="00B027FE"/>
    <w:rsid w:val="00B02FD6"/>
    <w:rsid w:val="00B05023"/>
    <w:rsid w:val="00B14B24"/>
    <w:rsid w:val="00B16469"/>
    <w:rsid w:val="00B20031"/>
    <w:rsid w:val="00B25D07"/>
    <w:rsid w:val="00B272B7"/>
    <w:rsid w:val="00B278B6"/>
    <w:rsid w:val="00B311BE"/>
    <w:rsid w:val="00B3269C"/>
    <w:rsid w:val="00B36C3D"/>
    <w:rsid w:val="00B4076C"/>
    <w:rsid w:val="00B42632"/>
    <w:rsid w:val="00B436FE"/>
    <w:rsid w:val="00B479C0"/>
    <w:rsid w:val="00B53BB3"/>
    <w:rsid w:val="00B5510B"/>
    <w:rsid w:val="00B570E4"/>
    <w:rsid w:val="00B5792A"/>
    <w:rsid w:val="00B61F65"/>
    <w:rsid w:val="00B716D8"/>
    <w:rsid w:val="00B72DDE"/>
    <w:rsid w:val="00B75E63"/>
    <w:rsid w:val="00B81C43"/>
    <w:rsid w:val="00B82381"/>
    <w:rsid w:val="00B90E95"/>
    <w:rsid w:val="00B912F4"/>
    <w:rsid w:val="00B93506"/>
    <w:rsid w:val="00B93C29"/>
    <w:rsid w:val="00B93F44"/>
    <w:rsid w:val="00B94EEC"/>
    <w:rsid w:val="00B96ECC"/>
    <w:rsid w:val="00BA3627"/>
    <w:rsid w:val="00BA403E"/>
    <w:rsid w:val="00BA5608"/>
    <w:rsid w:val="00BB3EC7"/>
    <w:rsid w:val="00BC41C6"/>
    <w:rsid w:val="00BC5EB4"/>
    <w:rsid w:val="00BC6175"/>
    <w:rsid w:val="00BC7E5B"/>
    <w:rsid w:val="00BD08C5"/>
    <w:rsid w:val="00BD0BDD"/>
    <w:rsid w:val="00BD4A0C"/>
    <w:rsid w:val="00BD4C17"/>
    <w:rsid w:val="00BD7392"/>
    <w:rsid w:val="00BE1D51"/>
    <w:rsid w:val="00BE58C6"/>
    <w:rsid w:val="00BE634D"/>
    <w:rsid w:val="00BE6CD4"/>
    <w:rsid w:val="00BF1FA7"/>
    <w:rsid w:val="00BF3459"/>
    <w:rsid w:val="00BF405B"/>
    <w:rsid w:val="00BF752E"/>
    <w:rsid w:val="00C02291"/>
    <w:rsid w:val="00C027DA"/>
    <w:rsid w:val="00C0543C"/>
    <w:rsid w:val="00C05F66"/>
    <w:rsid w:val="00C12D17"/>
    <w:rsid w:val="00C13E6C"/>
    <w:rsid w:val="00C14470"/>
    <w:rsid w:val="00C17A0E"/>
    <w:rsid w:val="00C25CF3"/>
    <w:rsid w:val="00C27828"/>
    <w:rsid w:val="00C32B12"/>
    <w:rsid w:val="00C3312A"/>
    <w:rsid w:val="00C361F9"/>
    <w:rsid w:val="00C41D93"/>
    <w:rsid w:val="00C50B87"/>
    <w:rsid w:val="00C51CEF"/>
    <w:rsid w:val="00C56353"/>
    <w:rsid w:val="00C57121"/>
    <w:rsid w:val="00C6043D"/>
    <w:rsid w:val="00C61FAA"/>
    <w:rsid w:val="00C630A5"/>
    <w:rsid w:val="00C650C1"/>
    <w:rsid w:val="00C651C5"/>
    <w:rsid w:val="00C67E4E"/>
    <w:rsid w:val="00C71063"/>
    <w:rsid w:val="00C738F0"/>
    <w:rsid w:val="00C75BA8"/>
    <w:rsid w:val="00C760CB"/>
    <w:rsid w:val="00C77A52"/>
    <w:rsid w:val="00C80669"/>
    <w:rsid w:val="00C8389A"/>
    <w:rsid w:val="00C83A61"/>
    <w:rsid w:val="00C934B7"/>
    <w:rsid w:val="00C93989"/>
    <w:rsid w:val="00CA6BDA"/>
    <w:rsid w:val="00CB0899"/>
    <w:rsid w:val="00CB27F4"/>
    <w:rsid w:val="00CB2F5B"/>
    <w:rsid w:val="00CB60C9"/>
    <w:rsid w:val="00CB7679"/>
    <w:rsid w:val="00CC0D3F"/>
    <w:rsid w:val="00CC0F48"/>
    <w:rsid w:val="00CC6113"/>
    <w:rsid w:val="00CD3742"/>
    <w:rsid w:val="00CD3E95"/>
    <w:rsid w:val="00CD52C2"/>
    <w:rsid w:val="00CE24CD"/>
    <w:rsid w:val="00CE2C45"/>
    <w:rsid w:val="00CE2E00"/>
    <w:rsid w:val="00CE3C00"/>
    <w:rsid w:val="00CE3E17"/>
    <w:rsid w:val="00CE3E86"/>
    <w:rsid w:val="00CE770E"/>
    <w:rsid w:val="00CF0EDA"/>
    <w:rsid w:val="00CF3D61"/>
    <w:rsid w:val="00CF5054"/>
    <w:rsid w:val="00CF5056"/>
    <w:rsid w:val="00CF7397"/>
    <w:rsid w:val="00D0184E"/>
    <w:rsid w:val="00D01FAA"/>
    <w:rsid w:val="00D0272D"/>
    <w:rsid w:val="00D03351"/>
    <w:rsid w:val="00D0433D"/>
    <w:rsid w:val="00D048CD"/>
    <w:rsid w:val="00D0493C"/>
    <w:rsid w:val="00D0782D"/>
    <w:rsid w:val="00D107E7"/>
    <w:rsid w:val="00D15153"/>
    <w:rsid w:val="00D21978"/>
    <w:rsid w:val="00D22759"/>
    <w:rsid w:val="00D2308D"/>
    <w:rsid w:val="00D250BF"/>
    <w:rsid w:val="00D278B0"/>
    <w:rsid w:val="00D27AA7"/>
    <w:rsid w:val="00D323AF"/>
    <w:rsid w:val="00D37FA5"/>
    <w:rsid w:val="00D427F7"/>
    <w:rsid w:val="00D45869"/>
    <w:rsid w:val="00D4711D"/>
    <w:rsid w:val="00D47CF1"/>
    <w:rsid w:val="00D51F1C"/>
    <w:rsid w:val="00D526E7"/>
    <w:rsid w:val="00D61625"/>
    <w:rsid w:val="00D62C71"/>
    <w:rsid w:val="00D63C5E"/>
    <w:rsid w:val="00D74500"/>
    <w:rsid w:val="00D766E1"/>
    <w:rsid w:val="00D7685E"/>
    <w:rsid w:val="00D76C8B"/>
    <w:rsid w:val="00D80122"/>
    <w:rsid w:val="00D8122F"/>
    <w:rsid w:val="00D81A3B"/>
    <w:rsid w:val="00D81D47"/>
    <w:rsid w:val="00D82ED9"/>
    <w:rsid w:val="00D82FF7"/>
    <w:rsid w:val="00D83448"/>
    <w:rsid w:val="00D86C7B"/>
    <w:rsid w:val="00D86D3D"/>
    <w:rsid w:val="00D87367"/>
    <w:rsid w:val="00D874B2"/>
    <w:rsid w:val="00D874F8"/>
    <w:rsid w:val="00D906B3"/>
    <w:rsid w:val="00D9119F"/>
    <w:rsid w:val="00D924E4"/>
    <w:rsid w:val="00D93D4E"/>
    <w:rsid w:val="00D943A8"/>
    <w:rsid w:val="00D94742"/>
    <w:rsid w:val="00DA20B7"/>
    <w:rsid w:val="00DA24A3"/>
    <w:rsid w:val="00DA29D1"/>
    <w:rsid w:val="00DA4AB1"/>
    <w:rsid w:val="00DA5110"/>
    <w:rsid w:val="00DA73AF"/>
    <w:rsid w:val="00DB268D"/>
    <w:rsid w:val="00DB3204"/>
    <w:rsid w:val="00DB3A07"/>
    <w:rsid w:val="00DB755B"/>
    <w:rsid w:val="00DC087F"/>
    <w:rsid w:val="00DC0F08"/>
    <w:rsid w:val="00DD0327"/>
    <w:rsid w:val="00DD1C77"/>
    <w:rsid w:val="00DD3E34"/>
    <w:rsid w:val="00DD627C"/>
    <w:rsid w:val="00DE1DF8"/>
    <w:rsid w:val="00DF323E"/>
    <w:rsid w:val="00DF3352"/>
    <w:rsid w:val="00DF46E1"/>
    <w:rsid w:val="00DF5688"/>
    <w:rsid w:val="00E0127C"/>
    <w:rsid w:val="00E02C93"/>
    <w:rsid w:val="00E034DD"/>
    <w:rsid w:val="00E04075"/>
    <w:rsid w:val="00E047D5"/>
    <w:rsid w:val="00E0676A"/>
    <w:rsid w:val="00E072B9"/>
    <w:rsid w:val="00E07384"/>
    <w:rsid w:val="00E103A3"/>
    <w:rsid w:val="00E103AB"/>
    <w:rsid w:val="00E134CF"/>
    <w:rsid w:val="00E141E6"/>
    <w:rsid w:val="00E235FB"/>
    <w:rsid w:val="00E25357"/>
    <w:rsid w:val="00E27333"/>
    <w:rsid w:val="00E30CF9"/>
    <w:rsid w:val="00E31B75"/>
    <w:rsid w:val="00E32751"/>
    <w:rsid w:val="00E33B2C"/>
    <w:rsid w:val="00E35E1F"/>
    <w:rsid w:val="00E4059E"/>
    <w:rsid w:val="00E407BD"/>
    <w:rsid w:val="00E409B9"/>
    <w:rsid w:val="00E4669C"/>
    <w:rsid w:val="00E46B52"/>
    <w:rsid w:val="00E506C6"/>
    <w:rsid w:val="00E52BA1"/>
    <w:rsid w:val="00E52E74"/>
    <w:rsid w:val="00E54CDE"/>
    <w:rsid w:val="00E5545B"/>
    <w:rsid w:val="00E63625"/>
    <w:rsid w:val="00E63968"/>
    <w:rsid w:val="00E64410"/>
    <w:rsid w:val="00E66EE5"/>
    <w:rsid w:val="00E706C5"/>
    <w:rsid w:val="00E727B2"/>
    <w:rsid w:val="00E73A21"/>
    <w:rsid w:val="00E77DC0"/>
    <w:rsid w:val="00E84A95"/>
    <w:rsid w:val="00E8574B"/>
    <w:rsid w:val="00E87532"/>
    <w:rsid w:val="00E912E7"/>
    <w:rsid w:val="00E91443"/>
    <w:rsid w:val="00E92C87"/>
    <w:rsid w:val="00E93086"/>
    <w:rsid w:val="00E93B5E"/>
    <w:rsid w:val="00EA00AA"/>
    <w:rsid w:val="00EA082F"/>
    <w:rsid w:val="00EA2689"/>
    <w:rsid w:val="00EA7A56"/>
    <w:rsid w:val="00EB00B5"/>
    <w:rsid w:val="00EB04E5"/>
    <w:rsid w:val="00EB095E"/>
    <w:rsid w:val="00EB1D56"/>
    <w:rsid w:val="00EB2D4E"/>
    <w:rsid w:val="00EB2D54"/>
    <w:rsid w:val="00EB6143"/>
    <w:rsid w:val="00EC1650"/>
    <w:rsid w:val="00EC1FA7"/>
    <w:rsid w:val="00EC2B78"/>
    <w:rsid w:val="00EC55D2"/>
    <w:rsid w:val="00EC7D6F"/>
    <w:rsid w:val="00ED01AD"/>
    <w:rsid w:val="00ED1F9C"/>
    <w:rsid w:val="00EE22B5"/>
    <w:rsid w:val="00EE23EC"/>
    <w:rsid w:val="00EE3A54"/>
    <w:rsid w:val="00EE616C"/>
    <w:rsid w:val="00EF026F"/>
    <w:rsid w:val="00EF3E70"/>
    <w:rsid w:val="00EF4FEE"/>
    <w:rsid w:val="00EF634F"/>
    <w:rsid w:val="00F00A8F"/>
    <w:rsid w:val="00F03230"/>
    <w:rsid w:val="00F06123"/>
    <w:rsid w:val="00F06153"/>
    <w:rsid w:val="00F119B6"/>
    <w:rsid w:val="00F229E1"/>
    <w:rsid w:val="00F244AC"/>
    <w:rsid w:val="00F250CE"/>
    <w:rsid w:val="00F25EFD"/>
    <w:rsid w:val="00F31141"/>
    <w:rsid w:val="00F37837"/>
    <w:rsid w:val="00F410E9"/>
    <w:rsid w:val="00F4313B"/>
    <w:rsid w:val="00F43264"/>
    <w:rsid w:val="00F45221"/>
    <w:rsid w:val="00F47847"/>
    <w:rsid w:val="00F56182"/>
    <w:rsid w:val="00F63AE6"/>
    <w:rsid w:val="00F64372"/>
    <w:rsid w:val="00F65398"/>
    <w:rsid w:val="00F67A27"/>
    <w:rsid w:val="00F708B3"/>
    <w:rsid w:val="00F72CCA"/>
    <w:rsid w:val="00F74C4D"/>
    <w:rsid w:val="00F81B60"/>
    <w:rsid w:val="00F8219A"/>
    <w:rsid w:val="00F82D57"/>
    <w:rsid w:val="00F847BD"/>
    <w:rsid w:val="00F84B51"/>
    <w:rsid w:val="00F87C43"/>
    <w:rsid w:val="00F91E00"/>
    <w:rsid w:val="00F95A2A"/>
    <w:rsid w:val="00FA0B09"/>
    <w:rsid w:val="00FA1A7D"/>
    <w:rsid w:val="00FA1AC7"/>
    <w:rsid w:val="00FA4196"/>
    <w:rsid w:val="00FB1BD8"/>
    <w:rsid w:val="00FB2115"/>
    <w:rsid w:val="00FB66F7"/>
    <w:rsid w:val="00FC3AC2"/>
    <w:rsid w:val="00FC5C57"/>
    <w:rsid w:val="00FC5F2A"/>
    <w:rsid w:val="00FC6F73"/>
    <w:rsid w:val="00FD28A9"/>
    <w:rsid w:val="00FD5603"/>
    <w:rsid w:val="00FD6757"/>
    <w:rsid w:val="00FE1789"/>
    <w:rsid w:val="00FE2D36"/>
    <w:rsid w:val="00FE3CD3"/>
    <w:rsid w:val="00FE5C49"/>
    <w:rsid w:val="00FE5D0D"/>
    <w:rsid w:val="00FE5F9B"/>
    <w:rsid w:val="00FE6D4F"/>
    <w:rsid w:val="00FF0144"/>
    <w:rsid w:val="00FF165C"/>
    <w:rsid w:val="00FF68AF"/>
    <w:rsid w:val="00FF7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0D2A77"/>
  <w15:docId w15:val="{660C63D8-2E24-4A74-B099-16251863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1A"/>
    <w:pPr>
      <w:spacing w:after="120"/>
    </w:pPr>
    <w:rPr>
      <w:rFonts w:ascii="Arial" w:hAnsi="Arial"/>
      <w:color w:val="404040" w:themeColor="text1" w:themeTint="BF"/>
      <w:sz w:val="20"/>
    </w:rPr>
  </w:style>
  <w:style w:type="paragraph" w:styleId="Heading1">
    <w:name w:val="heading 1"/>
    <w:basedOn w:val="Normal"/>
    <w:next w:val="Normal"/>
    <w:link w:val="Heading1Char"/>
    <w:qFormat/>
    <w:rsid w:val="00337B8D"/>
    <w:pPr>
      <w:keepNext/>
      <w:keepLines/>
      <w:spacing w:before="36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E35E1F"/>
    <w:pPr>
      <w:keepNext/>
      <w:keepLines/>
      <w:spacing w:before="2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nhideWhenUsed/>
    <w:qFormat/>
    <w:rsid w:val="00897B1A"/>
    <w:pPr>
      <w:keepNext/>
      <w:keepLines/>
      <w:spacing w:before="120"/>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rsid w:val="0041169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rsid w:val="00E35E1F"/>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897B1A"/>
    <w:rPr>
      <w:rFonts w:ascii="Arial" w:eastAsiaTheme="majorEastAsia" w:hAnsi="Arial" w:cstheme="majorBidi"/>
      <w:i/>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qFormat/>
    <w:rsid w:val="004B6B78"/>
    <w:rPr>
      <w:rFonts w:ascii="Arial" w:hAnsi="Arial"/>
      <w:b/>
      <w:bCs/>
      <w:color w:val="262626" w:themeColor="text1" w:themeTint="D9"/>
      <w:sz w:val="22"/>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A52296"/>
    <w:rPr>
      <w:sz w:val="18"/>
      <w:szCs w:val="18"/>
    </w:rPr>
  </w:style>
  <w:style w:type="paragraph" w:styleId="CommentText">
    <w:name w:val="annotation text"/>
    <w:basedOn w:val="Normal"/>
    <w:link w:val="CommentTextChar"/>
    <w:uiPriority w:val="99"/>
    <w:semiHidden/>
    <w:unhideWhenUsed/>
    <w:rsid w:val="00A52296"/>
    <w:pPr>
      <w:spacing w:line="240" w:lineRule="auto"/>
    </w:pPr>
    <w:rPr>
      <w:szCs w:val="24"/>
    </w:rPr>
  </w:style>
  <w:style w:type="character" w:customStyle="1" w:styleId="CommentTextChar">
    <w:name w:val="Comment Text Char"/>
    <w:basedOn w:val="DefaultParagraphFont"/>
    <w:link w:val="CommentText"/>
    <w:uiPriority w:val="99"/>
    <w:semiHidden/>
    <w:rsid w:val="00A52296"/>
    <w:rPr>
      <w:rFonts w:ascii="Arial" w:hAnsi="Arial"/>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A52296"/>
    <w:rPr>
      <w:b/>
      <w:bCs/>
      <w:szCs w:val="20"/>
    </w:rPr>
  </w:style>
  <w:style w:type="character" w:customStyle="1" w:styleId="CommentSubjectChar">
    <w:name w:val="Comment Subject Char"/>
    <w:basedOn w:val="CommentTextChar"/>
    <w:link w:val="CommentSubject"/>
    <w:uiPriority w:val="99"/>
    <w:semiHidden/>
    <w:rsid w:val="00A52296"/>
    <w:rPr>
      <w:rFonts w:ascii="Arial" w:hAnsi="Arial"/>
      <w:b/>
      <w:bCs/>
      <w:color w:val="404040" w:themeColor="text1" w:themeTint="BF"/>
      <w:sz w:val="20"/>
      <w:szCs w:val="20"/>
    </w:rPr>
  </w:style>
  <w:style w:type="paragraph" w:styleId="NormalWeb">
    <w:name w:val="Normal (Web)"/>
    <w:basedOn w:val="Normal"/>
    <w:uiPriority w:val="99"/>
    <w:semiHidden/>
    <w:unhideWhenUsed/>
    <w:rsid w:val="00FC5C57"/>
    <w:pPr>
      <w:spacing w:before="240" w:after="240" w:line="240" w:lineRule="auto"/>
    </w:pPr>
    <w:rPr>
      <w:rFonts w:ascii="Times New Roman" w:eastAsia="Times New Roman" w:hAnsi="Times New Roman" w:cs="Times New Roman"/>
      <w:color w:val="auto"/>
      <w:szCs w:val="24"/>
      <w:lang w:eastAsia="en-AU"/>
    </w:rPr>
  </w:style>
  <w:style w:type="character" w:customStyle="1" w:styleId="Heading4Char">
    <w:name w:val="Heading 4 Char"/>
    <w:basedOn w:val="DefaultParagraphFont"/>
    <w:link w:val="Heading4"/>
    <w:uiPriority w:val="9"/>
    <w:semiHidden/>
    <w:rsid w:val="00411691"/>
    <w:rPr>
      <w:rFonts w:asciiTheme="majorHAnsi" w:eastAsiaTheme="majorEastAsia" w:hAnsiTheme="majorHAnsi" w:cstheme="majorBidi"/>
      <w:b/>
      <w:bCs/>
      <w:i/>
      <w:iCs/>
      <w:color w:val="5B9BD5" w:themeColor="accent1"/>
      <w:sz w:val="24"/>
    </w:rPr>
  </w:style>
  <w:style w:type="table" w:styleId="TableElegant">
    <w:name w:val="Table Elegant"/>
    <w:basedOn w:val="TableNormal"/>
    <w:rsid w:val="0041169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03443"/>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next w:val="Normal"/>
    <w:rsid w:val="00AC4A37"/>
    <w:pPr>
      <w:tabs>
        <w:tab w:val="left" w:pos="567"/>
        <w:tab w:val="left" w:pos="1134"/>
        <w:tab w:val="left" w:pos="1701"/>
      </w:tabs>
      <w:spacing w:before="120" w:after="0" w:line="240" w:lineRule="auto"/>
    </w:pPr>
    <w:rPr>
      <w:rFonts w:eastAsia="Times New Roman" w:cs="Arial"/>
      <w:color w:val="auto"/>
      <w:szCs w:val="20"/>
      <w:lang w:eastAsia="en-AU"/>
    </w:rPr>
  </w:style>
  <w:style w:type="paragraph" w:customStyle="1" w:styleId="Author">
    <w:name w:val="Author"/>
    <w:basedOn w:val="Normal"/>
    <w:rsid w:val="00AC4A37"/>
    <w:pPr>
      <w:tabs>
        <w:tab w:val="left" w:pos="567"/>
        <w:tab w:val="left" w:pos="1134"/>
        <w:tab w:val="left" w:pos="1701"/>
      </w:tabs>
      <w:spacing w:before="120" w:after="0" w:line="240" w:lineRule="auto"/>
    </w:pPr>
    <w:rPr>
      <w:rFonts w:eastAsia="Times New Roman" w:cs="Arial"/>
      <w:b/>
      <w:bCs/>
      <w:color w:val="auto"/>
      <w:szCs w:val="24"/>
      <w:lang w:eastAsia="en-AU"/>
    </w:rPr>
  </w:style>
  <w:style w:type="paragraph" w:styleId="PlainText">
    <w:name w:val="Plain Text"/>
    <w:basedOn w:val="Normal"/>
    <w:link w:val="PlainTextChar"/>
    <w:uiPriority w:val="99"/>
    <w:semiHidden/>
    <w:unhideWhenUsed/>
    <w:rsid w:val="003D0FC7"/>
    <w:pPr>
      <w:spacing w:after="0" w:line="240" w:lineRule="auto"/>
    </w:pPr>
    <w:rPr>
      <w:rFonts w:ascii="Calibri" w:eastAsia="Calibri" w:hAnsi="Calibri" w:cs="Times New Roman"/>
      <w:color w:val="auto"/>
      <w:sz w:val="22"/>
      <w:szCs w:val="21"/>
    </w:rPr>
  </w:style>
  <w:style w:type="character" w:customStyle="1" w:styleId="PlainTextChar">
    <w:name w:val="Plain Text Char"/>
    <w:basedOn w:val="DefaultParagraphFont"/>
    <w:link w:val="PlainText"/>
    <w:uiPriority w:val="99"/>
    <w:semiHidden/>
    <w:rsid w:val="003D0FC7"/>
    <w:rPr>
      <w:rFonts w:ascii="Calibri" w:eastAsia="Calibri" w:hAnsi="Calibri" w:cs="Times New Roman"/>
      <w:szCs w:val="21"/>
    </w:rPr>
  </w:style>
  <w:style w:type="paragraph" w:styleId="Revision">
    <w:name w:val="Revision"/>
    <w:hidden/>
    <w:uiPriority w:val="99"/>
    <w:semiHidden/>
    <w:rsid w:val="00D0272D"/>
    <w:pPr>
      <w:spacing w:after="0" w:line="240" w:lineRule="auto"/>
    </w:pPr>
    <w:rPr>
      <w:rFonts w:ascii="Arial" w:hAnsi="Arial"/>
      <w:color w:val="404040" w:themeColor="text1" w:themeTint="BF"/>
      <w:sz w:val="20"/>
    </w:rPr>
  </w:style>
  <w:style w:type="character" w:customStyle="1" w:styleId="UnresolvedMention1">
    <w:name w:val="Unresolved Mention1"/>
    <w:basedOn w:val="DefaultParagraphFont"/>
    <w:uiPriority w:val="99"/>
    <w:semiHidden/>
    <w:unhideWhenUsed/>
    <w:rsid w:val="000D7FA9"/>
    <w:rPr>
      <w:color w:val="605E5C"/>
      <w:shd w:val="clear" w:color="auto" w:fill="E1DFDD"/>
    </w:rPr>
  </w:style>
  <w:style w:type="paragraph" w:customStyle="1" w:styleId="EndNoteBibliography">
    <w:name w:val="EndNote Bibliography"/>
    <w:basedOn w:val="Normal"/>
    <w:link w:val="EndNoteBibliographyChar"/>
    <w:rsid w:val="00965334"/>
    <w:pPr>
      <w:spacing w:after="200" w:line="240" w:lineRule="auto"/>
    </w:pPr>
    <w:rPr>
      <w:rFonts w:ascii="Calibri" w:eastAsia="Calibri" w:hAnsi="Calibri" w:cs="Calibri"/>
      <w:noProof/>
      <w:color w:val="auto"/>
      <w:sz w:val="22"/>
      <w:lang w:val="en-US"/>
    </w:rPr>
  </w:style>
  <w:style w:type="character" w:customStyle="1" w:styleId="EndNoteBibliographyChar">
    <w:name w:val="EndNote Bibliography Char"/>
    <w:basedOn w:val="DefaultParagraphFont"/>
    <w:link w:val="EndNoteBibliography"/>
    <w:rsid w:val="00965334"/>
    <w:rPr>
      <w:rFonts w:ascii="Calibri" w:eastAsia="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764">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17114897">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155418113">
      <w:bodyDiv w:val="1"/>
      <w:marLeft w:val="0"/>
      <w:marRight w:val="0"/>
      <w:marTop w:val="0"/>
      <w:marBottom w:val="0"/>
      <w:divBdr>
        <w:top w:val="none" w:sz="0" w:space="0" w:color="auto"/>
        <w:left w:val="none" w:sz="0" w:space="0" w:color="auto"/>
        <w:bottom w:val="none" w:sz="0" w:space="0" w:color="auto"/>
        <w:right w:val="none" w:sz="0" w:space="0" w:color="auto"/>
      </w:divBdr>
    </w:div>
    <w:div w:id="170801870">
      <w:bodyDiv w:val="1"/>
      <w:marLeft w:val="0"/>
      <w:marRight w:val="0"/>
      <w:marTop w:val="0"/>
      <w:marBottom w:val="0"/>
      <w:divBdr>
        <w:top w:val="none" w:sz="0" w:space="0" w:color="auto"/>
        <w:left w:val="none" w:sz="0" w:space="0" w:color="auto"/>
        <w:bottom w:val="none" w:sz="0" w:space="0" w:color="auto"/>
        <w:right w:val="none" w:sz="0" w:space="0" w:color="auto"/>
      </w:divBdr>
    </w:div>
    <w:div w:id="225920099">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56793759">
      <w:bodyDiv w:val="1"/>
      <w:marLeft w:val="0"/>
      <w:marRight w:val="0"/>
      <w:marTop w:val="0"/>
      <w:marBottom w:val="0"/>
      <w:divBdr>
        <w:top w:val="none" w:sz="0" w:space="0" w:color="auto"/>
        <w:left w:val="none" w:sz="0" w:space="0" w:color="auto"/>
        <w:bottom w:val="none" w:sz="0" w:space="0" w:color="auto"/>
        <w:right w:val="none" w:sz="0" w:space="0" w:color="auto"/>
      </w:divBdr>
    </w:div>
    <w:div w:id="263925432">
      <w:bodyDiv w:val="1"/>
      <w:marLeft w:val="0"/>
      <w:marRight w:val="0"/>
      <w:marTop w:val="0"/>
      <w:marBottom w:val="0"/>
      <w:divBdr>
        <w:top w:val="none" w:sz="0" w:space="0" w:color="auto"/>
        <w:left w:val="none" w:sz="0" w:space="0" w:color="auto"/>
        <w:bottom w:val="none" w:sz="0" w:space="0" w:color="auto"/>
        <w:right w:val="none" w:sz="0" w:space="0" w:color="auto"/>
      </w:divBdr>
    </w:div>
    <w:div w:id="303776332">
      <w:bodyDiv w:val="1"/>
      <w:marLeft w:val="0"/>
      <w:marRight w:val="0"/>
      <w:marTop w:val="0"/>
      <w:marBottom w:val="0"/>
      <w:divBdr>
        <w:top w:val="none" w:sz="0" w:space="0" w:color="auto"/>
        <w:left w:val="none" w:sz="0" w:space="0" w:color="auto"/>
        <w:bottom w:val="none" w:sz="0" w:space="0" w:color="auto"/>
        <w:right w:val="none" w:sz="0" w:space="0" w:color="auto"/>
      </w:divBdr>
    </w:div>
    <w:div w:id="365495691">
      <w:bodyDiv w:val="1"/>
      <w:marLeft w:val="0"/>
      <w:marRight w:val="0"/>
      <w:marTop w:val="0"/>
      <w:marBottom w:val="0"/>
      <w:divBdr>
        <w:top w:val="none" w:sz="0" w:space="0" w:color="auto"/>
        <w:left w:val="none" w:sz="0" w:space="0" w:color="auto"/>
        <w:bottom w:val="none" w:sz="0" w:space="0" w:color="auto"/>
        <w:right w:val="none" w:sz="0" w:space="0" w:color="auto"/>
      </w:divBdr>
    </w:div>
    <w:div w:id="379595603">
      <w:bodyDiv w:val="1"/>
      <w:marLeft w:val="0"/>
      <w:marRight w:val="0"/>
      <w:marTop w:val="0"/>
      <w:marBottom w:val="0"/>
      <w:divBdr>
        <w:top w:val="none" w:sz="0" w:space="0" w:color="auto"/>
        <w:left w:val="none" w:sz="0" w:space="0" w:color="auto"/>
        <w:bottom w:val="none" w:sz="0" w:space="0" w:color="auto"/>
        <w:right w:val="none" w:sz="0" w:space="0" w:color="auto"/>
      </w:divBdr>
    </w:div>
    <w:div w:id="392390142">
      <w:bodyDiv w:val="1"/>
      <w:marLeft w:val="0"/>
      <w:marRight w:val="0"/>
      <w:marTop w:val="0"/>
      <w:marBottom w:val="0"/>
      <w:divBdr>
        <w:top w:val="none" w:sz="0" w:space="0" w:color="auto"/>
        <w:left w:val="none" w:sz="0" w:space="0" w:color="auto"/>
        <w:bottom w:val="none" w:sz="0" w:space="0" w:color="auto"/>
        <w:right w:val="none" w:sz="0" w:space="0" w:color="auto"/>
      </w:divBdr>
    </w:div>
    <w:div w:id="449862693">
      <w:bodyDiv w:val="1"/>
      <w:marLeft w:val="0"/>
      <w:marRight w:val="0"/>
      <w:marTop w:val="0"/>
      <w:marBottom w:val="0"/>
      <w:divBdr>
        <w:top w:val="none" w:sz="0" w:space="0" w:color="auto"/>
        <w:left w:val="none" w:sz="0" w:space="0" w:color="auto"/>
        <w:bottom w:val="none" w:sz="0" w:space="0" w:color="auto"/>
        <w:right w:val="none" w:sz="0" w:space="0" w:color="auto"/>
      </w:divBdr>
    </w:div>
    <w:div w:id="468792410">
      <w:bodyDiv w:val="1"/>
      <w:marLeft w:val="0"/>
      <w:marRight w:val="0"/>
      <w:marTop w:val="0"/>
      <w:marBottom w:val="0"/>
      <w:divBdr>
        <w:top w:val="none" w:sz="0" w:space="0" w:color="auto"/>
        <w:left w:val="none" w:sz="0" w:space="0" w:color="auto"/>
        <w:bottom w:val="none" w:sz="0" w:space="0" w:color="auto"/>
        <w:right w:val="none" w:sz="0" w:space="0" w:color="auto"/>
      </w:divBdr>
    </w:div>
    <w:div w:id="551691114">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18729168">
      <w:bodyDiv w:val="1"/>
      <w:marLeft w:val="0"/>
      <w:marRight w:val="0"/>
      <w:marTop w:val="0"/>
      <w:marBottom w:val="0"/>
      <w:divBdr>
        <w:top w:val="none" w:sz="0" w:space="0" w:color="auto"/>
        <w:left w:val="none" w:sz="0" w:space="0" w:color="auto"/>
        <w:bottom w:val="none" w:sz="0" w:space="0" w:color="auto"/>
        <w:right w:val="none" w:sz="0" w:space="0" w:color="auto"/>
      </w:divBdr>
    </w:div>
    <w:div w:id="631247751">
      <w:bodyDiv w:val="1"/>
      <w:marLeft w:val="0"/>
      <w:marRight w:val="0"/>
      <w:marTop w:val="0"/>
      <w:marBottom w:val="0"/>
      <w:divBdr>
        <w:top w:val="none" w:sz="0" w:space="0" w:color="auto"/>
        <w:left w:val="none" w:sz="0" w:space="0" w:color="auto"/>
        <w:bottom w:val="none" w:sz="0" w:space="0" w:color="auto"/>
        <w:right w:val="none" w:sz="0" w:space="0" w:color="auto"/>
      </w:divBdr>
    </w:div>
    <w:div w:id="715080319">
      <w:bodyDiv w:val="1"/>
      <w:marLeft w:val="0"/>
      <w:marRight w:val="0"/>
      <w:marTop w:val="0"/>
      <w:marBottom w:val="0"/>
      <w:divBdr>
        <w:top w:val="none" w:sz="0" w:space="0" w:color="auto"/>
        <w:left w:val="none" w:sz="0" w:space="0" w:color="auto"/>
        <w:bottom w:val="none" w:sz="0" w:space="0" w:color="auto"/>
        <w:right w:val="none" w:sz="0" w:space="0" w:color="auto"/>
      </w:divBdr>
    </w:div>
    <w:div w:id="768038900">
      <w:bodyDiv w:val="1"/>
      <w:marLeft w:val="0"/>
      <w:marRight w:val="0"/>
      <w:marTop w:val="0"/>
      <w:marBottom w:val="0"/>
      <w:divBdr>
        <w:top w:val="none" w:sz="0" w:space="0" w:color="auto"/>
        <w:left w:val="none" w:sz="0" w:space="0" w:color="auto"/>
        <w:bottom w:val="none" w:sz="0" w:space="0" w:color="auto"/>
        <w:right w:val="none" w:sz="0" w:space="0" w:color="auto"/>
      </w:divBdr>
    </w:div>
    <w:div w:id="771319193">
      <w:bodyDiv w:val="1"/>
      <w:marLeft w:val="0"/>
      <w:marRight w:val="0"/>
      <w:marTop w:val="0"/>
      <w:marBottom w:val="0"/>
      <w:divBdr>
        <w:top w:val="none" w:sz="0" w:space="0" w:color="auto"/>
        <w:left w:val="none" w:sz="0" w:space="0" w:color="auto"/>
        <w:bottom w:val="none" w:sz="0" w:space="0" w:color="auto"/>
        <w:right w:val="none" w:sz="0" w:space="0" w:color="auto"/>
      </w:divBdr>
    </w:div>
    <w:div w:id="829637295">
      <w:bodyDiv w:val="1"/>
      <w:marLeft w:val="0"/>
      <w:marRight w:val="0"/>
      <w:marTop w:val="0"/>
      <w:marBottom w:val="0"/>
      <w:divBdr>
        <w:top w:val="none" w:sz="0" w:space="0" w:color="auto"/>
        <w:left w:val="none" w:sz="0" w:space="0" w:color="auto"/>
        <w:bottom w:val="none" w:sz="0" w:space="0" w:color="auto"/>
        <w:right w:val="none" w:sz="0" w:space="0" w:color="auto"/>
      </w:divBdr>
    </w:div>
    <w:div w:id="842666472">
      <w:bodyDiv w:val="1"/>
      <w:marLeft w:val="0"/>
      <w:marRight w:val="0"/>
      <w:marTop w:val="0"/>
      <w:marBottom w:val="0"/>
      <w:divBdr>
        <w:top w:val="none" w:sz="0" w:space="0" w:color="auto"/>
        <w:left w:val="none" w:sz="0" w:space="0" w:color="auto"/>
        <w:bottom w:val="none" w:sz="0" w:space="0" w:color="auto"/>
        <w:right w:val="none" w:sz="0" w:space="0" w:color="auto"/>
      </w:divBdr>
    </w:div>
    <w:div w:id="866331059">
      <w:bodyDiv w:val="1"/>
      <w:marLeft w:val="0"/>
      <w:marRight w:val="0"/>
      <w:marTop w:val="0"/>
      <w:marBottom w:val="0"/>
      <w:divBdr>
        <w:top w:val="none" w:sz="0" w:space="0" w:color="auto"/>
        <w:left w:val="none" w:sz="0" w:space="0" w:color="auto"/>
        <w:bottom w:val="none" w:sz="0" w:space="0" w:color="auto"/>
        <w:right w:val="none" w:sz="0" w:space="0" w:color="auto"/>
      </w:divBdr>
    </w:div>
    <w:div w:id="866672989">
      <w:bodyDiv w:val="1"/>
      <w:marLeft w:val="0"/>
      <w:marRight w:val="0"/>
      <w:marTop w:val="0"/>
      <w:marBottom w:val="0"/>
      <w:divBdr>
        <w:top w:val="none" w:sz="0" w:space="0" w:color="auto"/>
        <w:left w:val="none" w:sz="0" w:space="0" w:color="auto"/>
        <w:bottom w:val="none" w:sz="0" w:space="0" w:color="auto"/>
        <w:right w:val="none" w:sz="0" w:space="0" w:color="auto"/>
      </w:divBdr>
    </w:div>
    <w:div w:id="1003974668">
      <w:bodyDiv w:val="1"/>
      <w:marLeft w:val="0"/>
      <w:marRight w:val="0"/>
      <w:marTop w:val="0"/>
      <w:marBottom w:val="0"/>
      <w:divBdr>
        <w:top w:val="none" w:sz="0" w:space="0" w:color="auto"/>
        <w:left w:val="none" w:sz="0" w:space="0" w:color="auto"/>
        <w:bottom w:val="none" w:sz="0" w:space="0" w:color="auto"/>
        <w:right w:val="none" w:sz="0" w:space="0" w:color="auto"/>
      </w:divBdr>
    </w:div>
    <w:div w:id="1056247204">
      <w:bodyDiv w:val="1"/>
      <w:marLeft w:val="0"/>
      <w:marRight w:val="0"/>
      <w:marTop w:val="0"/>
      <w:marBottom w:val="0"/>
      <w:divBdr>
        <w:top w:val="none" w:sz="0" w:space="0" w:color="auto"/>
        <w:left w:val="none" w:sz="0" w:space="0" w:color="auto"/>
        <w:bottom w:val="none" w:sz="0" w:space="0" w:color="auto"/>
        <w:right w:val="none" w:sz="0" w:space="0" w:color="auto"/>
      </w:divBdr>
    </w:div>
    <w:div w:id="1068112608">
      <w:bodyDiv w:val="1"/>
      <w:marLeft w:val="0"/>
      <w:marRight w:val="0"/>
      <w:marTop w:val="0"/>
      <w:marBottom w:val="0"/>
      <w:divBdr>
        <w:top w:val="none" w:sz="0" w:space="0" w:color="auto"/>
        <w:left w:val="none" w:sz="0" w:space="0" w:color="auto"/>
        <w:bottom w:val="none" w:sz="0" w:space="0" w:color="auto"/>
        <w:right w:val="none" w:sz="0" w:space="0" w:color="auto"/>
      </w:divBdr>
      <w:divsChild>
        <w:div w:id="1232622232">
          <w:marLeft w:val="0"/>
          <w:marRight w:val="0"/>
          <w:marTop w:val="0"/>
          <w:marBottom w:val="0"/>
          <w:divBdr>
            <w:top w:val="none" w:sz="0" w:space="0" w:color="auto"/>
            <w:left w:val="none" w:sz="0" w:space="0" w:color="auto"/>
            <w:bottom w:val="none" w:sz="0" w:space="0" w:color="auto"/>
            <w:right w:val="none" w:sz="0" w:space="0" w:color="auto"/>
          </w:divBdr>
          <w:divsChild>
            <w:div w:id="1684015507">
              <w:marLeft w:val="0"/>
              <w:marRight w:val="0"/>
              <w:marTop w:val="0"/>
              <w:marBottom w:val="0"/>
              <w:divBdr>
                <w:top w:val="none" w:sz="0" w:space="0" w:color="auto"/>
                <w:left w:val="none" w:sz="0" w:space="0" w:color="auto"/>
                <w:bottom w:val="none" w:sz="0" w:space="0" w:color="auto"/>
                <w:right w:val="none" w:sz="0" w:space="0" w:color="auto"/>
              </w:divBdr>
              <w:divsChild>
                <w:div w:id="1614165632">
                  <w:marLeft w:val="0"/>
                  <w:marRight w:val="0"/>
                  <w:marTop w:val="0"/>
                  <w:marBottom w:val="0"/>
                  <w:divBdr>
                    <w:top w:val="none" w:sz="0" w:space="0" w:color="auto"/>
                    <w:left w:val="none" w:sz="0" w:space="0" w:color="auto"/>
                    <w:bottom w:val="none" w:sz="0" w:space="0" w:color="auto"/>
                    <w:right w:val="none" w:sz="0" w:space="0" w:color="auto"/>
                  </w:divBdr>
                  <w:divsChild>
                    <w:div w:id="182403846">
                      <w:marLeft w:val="0"/>
                      <w:marRight w:val="0"/>
                      <w:marTop w:val="0"/>
                      <w:marBottom w:val="0"/>
                      <w:divBdr>
                        <w:top w:val="none" w:sz="0" w:space="0" w:color="auto"/>
                        <w:left w:val="none" w:sz="0" w:space="0" w:color="auto"/>
                        <w:bottom w:val="none" w:sz="0" w:space="0" w:color="auto"/>
                        <w:right w:val="none" w:sz="0" w:space="0" w:color="auto"/>
                      </w:divBdr>
                      <w:divsChild>
                        <w:div w:id="428504846">
                          <w:marLeft w:val="0"/>
                          <w:marRight w:val="0"/>
                          <w:marTop w:val="300"/>
                          <w:marBottom w:val="0"/>
                          <w:divBdr>
                            <w:top w:val="none" w:sz="0" w:space="0" w:color="auto"/>
                            <w:left w:val="none" w:sz="0" w:space="0" w:color="auto"/>
                            <w:bottom w:val="none" w:sz="0" w:space="0" w:color="auto"/>
                            <w:right w:val="none" w:sz="0" w:space="0" w:color="auto"/>
                          </w:divBdr>
                          <w:divsChild>
                            <w:div w:id="1123964771">
                              <w:marLeft w:val="0"/>
                              <w:marRight w:val="0"/>
                              <w:marTop w:val="0"/>
                              <w:marBottom w:val="0"/>
                              <w:divBdr>
                                <w:top w:val="none" w:sz="0" w:space="0" w:color="auto"/>
                                <w:left w:val="none" w:sz="0" w:space="0" w:color="auto"/>
                                <w:bottom w:val="none" w:sz="0" w:space="0" w:color="auto"/>
                                <w:right w:val="none" w:sz="0" w:space="0" w:color="auto"/>
                              </w:divBdr>
                              <w:divsChild>
                                <w:div w:id="2001694222">
                                  <w:marLeft w:val="25"/>
                                  <w:marRight w:val="-75"/>
                                  <w:marTop w:val="0"/>
                                  <w:marBottom w:val="0"/>
                                  <w:divBdr>
                                    <w:top w:val="none" w:sz="0" w:space="0" w:color="auto"/>
                                    <w:left w:val="none" w:sz="0" w:space="0" w:color="auto"/>
                                    <w:bottom w:val="none" w:sz="0" w:space="0" w:color="auto"/>
                                    <w:right w:val="none" w:sz="0" w:space="0" w:color="auto"/>
                                  </w:divBdr>
                                  <w:divsChild>
                                    <w:div w:id="1010646961">
                                      <w:marLeft w:val="0"/>
                                      <w:marRight w:val="0"/>
                                      <w:marTop w:val="0"/>
                                      <w:marBottom w:val="0"/>
                                      <w:divBdr>
                                        <w:top w:val="none" w:sz="0" w:space="0" w:color="auto"/>
                                        <w:left w:val="none" w:sz="0" w:space="0" w:color="auto"/>
                                        <w:bottom w:val="none" w:sz="0" w:space="0" w:color="auto"/>
                                        <w:right w:val="none" w:sz="0" w:space="0" w:color="auto"/>
                                      </w:divBdr>
                                      <w:divsChild>
                                        <w:div w:id="1758210439">
                                          <w:marLeft w:val="0"/>
                                          <w:marRight w:val="0"/>
                                          <w:marTop w:val="0"/>
                                          <w:marBottom w:val="0"/>
                                          <w:divBdr>
                                            <w:top w:val="none" w:sz="0" w:space="0" w:color="auto"/>
                                            <w:left w:val="none" w:sz="0" w:space="0" w:color="auto"/>
                                            <w:bottom w:val="none" w:sz="0" w:space="0" w:color="auto"/>
                                            <w:right w:val="none" w:sz="0" w:space="0" w:color="auto"/>
                                          </w:divBdr>
                                          <w:divsChild>
                                            <w:div w:id="751662705">
                                              <w:marLeft w:val="0"/>
                                              <w:marRight w:val="0"/>
                                              <w:marTop w:val="0"/>
                                              <w:marBottom w:val="0"/>
                                              <w:divBdr>
                                                <w:top w:val="none" w:sz="0" w:space="0" w:color="auto"/>
                                                <w:left w:val="none" w:sz="0" w:space="0" w:color="auto"/>
                                                <w:bottom w:val="none" w:sz="0" w:space="0" w:color="auto"/>
                                                <w:right w:val="none" w:sz="0" w:space="0" w:color="auto"/>
                                              </w:divBdr>
                                              <w:divsChild>
                                                <w:div w:id="1485317871">
                                                  <w:marLeft w:val="0"/>
                                                  <w:marRight w:val="0"/>
                                                  <w:marTop w:val="0"/>
                                                  <w:marBottom w:val="0"/>
                                                  <w:divBdr>
                                                    <w:top w:val="none" w:sz="0" w:space="0" w:color="auto"/>
                                                    <w:left w:val="none" w:sz="0" w:space="0" w:color="auto"/>
                                                    <w:bottom w:val="none" w:sz="0" w:space="0" w:color="auto"/>
                                                    <w:right w:val="none" w:sz="0" w:space="0" w:color="auto"/>
                                                  </w:divBdr>
                                                  <w:divsChild>
                                                    <w:div w:id="16163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09859382">
      <w:bodyDiv w:val="1"/>
      <w:marLeft w:val="0"/>
      <w:marRight w:val="0"/>
      <w:marTop w:val="0"/>
      <w:marBottom w:val="0"/>
      <w:divBdr>
        <w:top w:val="none" w:sz="0" w:space="0" w:color="auto"/>
        <w:left w:val="none" w:sz="0" w:space="0" w:color="auto"/>
        <w:bottom w:val="none" w:sz="0" w:space="0" w:color="auto"/>
        <w:right w:val="none" w:sz="0" w:space="0" w:color="auto"/>
      </w:divBdr>
    </w:div>
    <w:div w:id="1308437924">
      <w:bodyDiv w:val="1"/>
      <w:marLeft w:val="0"/>
      <w:marRight w:val="0"/>
      <w:marTop w:val="0"/>
      <w:marBottom w:val="0"/>
      <w:divBdr>
        <w:top w:val="none" w:sz="0" w:space="0" w:color="auto"/>
        <w:left w:val="none" w:sz="0" w:space="0" w:color="auto"/>
        <w:bottom w:val="none" w:sz="0" w:space="0" w:color="auto"/>
        <w:right w:val="none" w:sz="0" w:space="0" w:color="auto"/>
      </w:divBdr>
    </w:div>
    <w:div w:id="1311061749">
      <w:bodyDiv w:val="1"/>
      <w:marLeft w:val="0"/>
      <w:marRight w:val="0"/>
      <w:marTop w:val="0"/>
      <w:marBottom w:val="0"/>
      <w:divBdr>
        <w:top w:val="none" w:sz="0" w:space="0" w:color="auto"/>
        <w:left w:val="none" w:sz="0" w:space="0" w:color="auto"/>
        <w:bottom w:val="none" w:sz="0" w:space="0" w:color="auto"/>
        <w:right w:val="none" w:sz="0" w:space="0" w:color="auto"/>
      </w:divBdr>
    </w:div>
    <w:div w:id="1381783479">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35437232">
      <w:bodyDiv w:val="1"/>
      <w:marLeft w:val="0"/>
      <w:marRight w:val="0"/>
      <w:marTop w:val="0"/>
      <w:marBottom w:val="0"/>
      <w:divBdr>
        <w:top w:val="none" w:sz="0" w:space="0" w:color="auto"/>
        <w:left w:val="none" w:sz="0" w:space="0" w:color="auto"/>
        <w:bottom w:val="none" w:sz="0" w:space="0" w:color="auto"/>
        <w:right w:val="none" w:sz="0" w:space="0" w:color="auto"/>
      </w:divBdr>
    </w:div>
    <w:div w:id="1495142406">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44901307">
      <w:bodyDiv w:val="1"/>
      <w:marLeft w:val="0"/>
      <w:marRight w:val="0"/>
      <w:marTop w:val="0"/>
      <w:marBottom w:val="0"/>
      <w:divBdr>
        <w:top w:val="none" w:sz="0" w:space="0" w:color="auto"/>
        <w:left w:val="none" w:sz="0" w:space="0" w:color="auto"/>
        <w:bottom w:val="none" w:sz="0" w:space="0" w:color="auto"/>
        <w:right w:val="none" w:sz="0" w:space="0" w:color="auto"/>
      </w:divBdr>
    </w:div>
    <w:div w:id="1585456362">
      <w:bodyDiv w:val="1"/>
      <w:marLeft w:val="0"/>
      <w:marRight w:val="0"/>
      <w:marTop w:val="0"/>
      <w:marBottom w:val="0"/>
      <w:divBdr>
        <w:top w:val="none" w:sz="0" w:space="0" w:color="auto"/>
        <w:left w:val="none" w:sz="0" w:space="0" w:color="auto"/>
        <w:bottom w:val="none" w:sz="0" w:space="0" w:color="auto"/>
        <w:right w:val="none" w:sz="0" w:space="0" w:color="auto"/>
      </w:divBdr>
    </w:div>
    <w:div w:id="1677270990">
      <w:bodyDiv w:val="1"/>
      <w:marLeft w:val="0"/>
      <w:marRight w:val="0"/>
      <w:marTop w:val="0"/>
      <w:marBottom w:val="0"/>
      <w:divBdr>
        <w:top w:val="none" w:sz="0" w:space="0" w:color="auto"/>
        <w:left w:val="none" w:sz="0" w:space="0" w:color="auto"/>
        <w:bottom w:val="none" w:sz="0" w:space="0" w:color="auto"/>
        <w:right w:val="none" w:sz="0" w:space="0" w:color="auto"/>
      </w:divBdr>
    </w:div>
    <w:div w:id="1711146317">
      <w:bodyDiv w:val="1"/>
      <w:marLeft w:val="0"/>
      <w:marRight w:val="0"/>
      <w:marTop w:val="0"/>
      <w:marBottom w:val="0"/>
      <w:divBdr>
        <w:top w:val="none" w:sz="0" w:space="0" w:color="auto"/>
        <w:left w:val="none" w:sz="0" w:space="0" w:color="auto"/>
        <w:bottom w:val="none" w:sz="0" w:space="0" w:color="auto"/>
        <w:right w:val="none" w:sz="0" w:space="0" w:color="auto"/>
      </w:divBdr>
    </w:div>
    <w:div w:id="1855455982">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berto.busi@uwa.edu.au" TargetMode="Externa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84DC-D8B7-40A4-9A1D-B3EDBC74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12290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Nash</dc:creator>
  <cp:lastModifiedBy>Angie Kearsley</cp:lastModifiedBy>
  <cp:revision>2</cp:revision>
  <dcterms:created xsi:type="dcterms:W3CDTF">2020-02-03T01:29:00Z</dcterms:created>
  <dcterms:modified xsi:type="dcterms:W3CDTF">2020-02-03T01:29:00Z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A469358</vt:lpwstr>
  </property>
  <property fmtid="{D5CDD505-2E9C-101B-9397-08002B2CF9AE}" pid="4" name="Objective-Title">
    <vt:lpwstr>Agzone1 wheat production values accessible 2009 - 2013</vt:lpwstr>
  </property>
  <property fmtid="{D5CDD505-2E9C-101B-9397-08002B2CF9AE}" pid="5" name="Objective-Comment">
    <vt:lpwstr>Agzone 1 - wheat variety production values (2009 - 2013)</vt:lpwstr>
  </property>
  <property fmtid="{D5CDD505-2E9C-101B-9397-08002B2CF9AE}" pid="6" name="Objective-CreationStamp">
    <vt:filetime>2014-08-26T05:35:18Z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2014-08-28T07:28:14Z</vt:filetime>
  </property>
  <property fmtid="{D5CDD505-2E9C-101B-9397-08002B2CF9AE}" pid="11" name="Objective-Owner">
    <vt:lpwstr>ZAICOU-KUNESCH Christine</vt:lpwstr>
  </property>
  <property fmtid="{D5CDD505-2E9C-101B-9397-08002B2CF9AE}" pid="12" name="Objective-Path">
    <vt:lpwstr>Objective Global Folder:Departmental Folder Structure:DAFWA:Grains Industry (Mark Sweetingham):*External Publications - Gateway - Grains Industry:Crops:Wheat:Crops - Wheat - External Web Gateway:</vt:lpwstr>
  </property>
  <property fmtid="{D5CDD505-2E9C-101B-9397-08002B2CF9AE}" pid="13" name="Objective-Parent">
    <vt:lpwstr>Crops - Wheat - External Web Gateway</vt:lpwstr>
  </property>
  <property fmtid="{D5CDD505-2E9C-101B-9397-08002B2CF9AE}" pid="14" name="Objective-State">
    <vt:lpwstr>Submitted for Approval</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changes included Vinka's edits and text changes following review</vt:lpwstr>
  </property>
  <property fmtid="{D5CDD505-2E9C-101B-9397-08002B2CF9AE}" pid="18" name="Objective-FileNumber">
    <vt:lpwstr>PM140070</vt:lpwstr>
  </property>
  <property fmtid="{D5CDD505-2E9C-101B-9397-08002B2CF9AE}" pid="19" name="Objective-Classification">
    <vt:lpwstr>[Inherited - Internal Information]</vt:lpwstr>
  </property>
  <property fmtid="{D5CDD505-2E9C-101B-9397-08002B2CF9AE}" pid="20" name="Objective-Caveats">
    <vt:lpwstr>
    </vt:lpwstr>
  </property>
  <property fmtid="{D5CDD505-2E9C-101B-9397-08002B2CF9AE}" pid="21" name="Objective-Date Written [system]">
    <vt:lpwstr>
    </vt:lpwstr>
  </property>
  <property fmtid="{D5CDD505-2E9C-101B-9397-08002B2CF9AE}" pid="22" name="Objective-Author (if other than you) [system]">
    <vt:lpwstr>
    </vt:lpwstr>
  </property>
  <property fmtid="{D5CDD505-2E9C-101B-9397-08002B2CF9AE}" pid="23" name="Objective-Organisation [system]">
    <vt:lpwstr>
    </vt:lpwstr>
  </property>
  <property fmtid="{D5CDD505-2E9C-101B-9397-08002B2CF9AE}" pid="24" name="Objective-Abstract / descriptors [system]">
    <vt:lpwstr>
    </vt:lpwstr>
  </property>
  <property fmtid="{D5CDD505-2E9C-101B-9397-08002B2CF9AE}" pid="25" name="Objective-Allow Intranet Search [system]">
    <vt:bool>false</vt:bool>
  </property>
  <property fmtid="{D5CDD505-2E9C-101B-9397-08002B2CF9AE}" pid="26" name="Objective-CMS Deleted [system]">
    <vt:bool>false</vt:bool>
  </property>
  <property fmtid="{D5CDD505-2E9C-101B-9397-08002B2CF9AE}" pid="27" name="Objective-Stored In CMS [system]">
    <vt:bool>false</vt:bool>
  </property>
  <property fmtid="{D5CDD505-2E9C-101B-9397-08002B2CF9AE}" pid="28" name="Objective-CMS Id [system]">
    <vt:lpwstr>
    </vt:lpwstr>
  </property>
</Properties>
</file>