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2F97" w14:textId="77777777" w:rsidR="008C6588" w:rsidRPr="002E44E8" w:rsidRDefault="00F81D28" w:rsidP="008C6588">
      <w:pPr>
        <w:pStyle w:val="Heading1"/>
        <w:spacing w:before="240"/>
        <w:rPr>
          <w:color w:val="auto"/>
        </w:rPr>
      </w:pPr>
      <w:r w:rsidRPr="00F81D28">
        <w:rPr>
          <w:color w:val="auto"/>
        </w:rPr>
        <w:t xml:space="preserve">“Give me a break!” – Options for paddocks infested with both root lesion nematodes and </w:t>
      </w:r>
      <w:r w:rsidRPr="00650CDE">
        <w:rPr>
          <w:i/>
          <w:color w:val="auto"/>
        </w:rPr>
        <w:t xml:space="preserve">Rhizoctonia </w:t>
      </w:r>
      <w:proofErr w:type="spellStart"/>
      <w:r w:rsidRPr="00650CDE">
        <w:rPr>
          <w:i/>
          <w:color w:val="auto"/>
        </w:rPr>
        <w:t>solani</w:t>
      </w:r>
      <w:proofErr w:type="spellEnd"/>
      <w:r w:rsidRPr="00F81D28">
        <w:rPr>
          <w:color w:val="auto"/>
        </w:rPr>
        <w:t xml:space="preserve"> AG8</w:t>
      </w:r>
    </w:p>
    <w:p w14:paraId="26836AA1" w14:textId="77777777" w:rsidR="00F47597" w:rsidRPr="00F47597" w:rsidRDefault="00F47597" w:rsidP="00F47597">
      <w:pPr>
        <w:pStyle w:val="Author"/>
        <w:rPr>
          <w:b w:val="0"/>
          <w:bCs w:val="0"/>
          <w:szCs w:val="20"/>
        </w:rPr>
      </w:pPr>
      <w:r w:rsidRPr="00F47597">
        <w:rPr>
          <w:rStyle w:val="Strong"/>
          <w:b/>
          <w:sz w:val="20"/>
          <w:szCs w:val="20"/>
        </w:rPr>
        <w:t xml:space="preserve">Bec Swift, </w:t>
      </w:r>
      <w:r w:rsidR="00894A02" w:rsidRPr="00F47597">
        <w:rPr>
          <w:rStyle w:val="Strong"/>
          <w:b/>
          <w:sz w:val="20"/>
          <w:szCs w:val="20"/>
        </w:rPr>
        <w:t>Sarah Collins, Carla Wilkinson, Daniel</w:t>
      </w:r>
      <w:r w:rsidR="00894A02" w:rsidRPr="00F47597">
        <w:rPr>
          <w:rStyle w:val="Strong"/>
          <w:sz w:val="20"/>
          <w:szCs w:val="20"/>
        </w:rPr>
        <w:t xml:space="preserve"> </w:t>
      </w:r>
      <w:proofErr w:type="spellStart"/>
      <w:r w:rsidR="00894A02" w:rsidRPr="00F47597">
        <w:rPr>
          <w:szCs w:val="20"/>
        </w:rPr>
        <w:t>Hüberli</w:t>
      </w:r>
      <w:proofErr w:type="spellEnd"/>
      <w:r w:rsidR="00894A02">
        <w:rPr>
          <w:szCs w:val="20"/>
        </w:rPr>
        <w:t>,</w:t>
      </w:r>
      <w:r w:rsidR="00894A02" w:rsidRPr="00F47597">
        <w:rPr>
          <w:szCs w:val="20"/>
        </w:rPr>
        <w:t xml:space="preserve"> </w:t>
      </w:r>
      <w:r w:rsidR="003F168A" w:rsidRPr="00F47597">
        <w:rPr>
          <w:rStyle w:val="Strong"/>
          <w:b/>
          <w:sz w:val="20"/>
          <w:szCs w:val="20"/>
        </w:rPr>
        <w:t>Carla Milazzo,</w:t>
      </w:r>
      <w:r w:rsidR="003F168A">
        <w:rPr>
          <w:rStyle w:val="Strong"/>
          <w:b/>
          <w:sz w:val="20"/>
          <w:szCs w:val="20"/>
        </w:rPr>
        <w:t xml:space="preserve"> </w:t>
      </w:r>
      <w:r w:rsidR="00054C03" w:rsidRPr="00F47597">
        <w:rPr>
          <w:rStyle w:val="Strong"/>
          <w:b/>
          <w:sz w:val="20"/>
          <w:szCs w:val="20"/>
        </w:rPr>
        <w:t>Alice Butler</w:t>
      </w:r>
      <w:r w:rsidR="00054C03" w:rsidRPr="00F47597">
        <w:rPr>
          <w:szCs w:val="20"/>
        </w:rPr>
        <w:t xml:space="preserve">, </w:t>
      </w:r>
      <w:r w:rsidR="005571DE" w:rsidRPr="00F47597">
        <w:rPr>
          <w:rStyle w:val="Strong"/>
          <w:b/>
          <w:sz w:val="20"/>
          <w:szCs w:val="20"/>
        </w:rPr>
        <w:t>Sean Kelly</w:t>
      </w:r>
      <w:r w:rsidR="005571DE" w:rsidRPr="00F47597">
        <w:rPr>
          <w:b w:val="0"/>
          <w:szCs w:val="20"/>
        </w:rPr>
        <w:t xml:space="preserve"> </w:t>
      </w:r>
      <w:r w:rsidRPr="00F47597">
        <w:rPr>
          <w:b w:val="0"/>
          <w:szCs w:val="20"/>
        </w:rPr>
        <w:t>Department of Primary Industries and Regional Development</w:t>
      </w:r>
      <w:r w:rsidR="003B4873">
        <w:rPr>
          <w:b w:val="0"/>
          <w:szCs w:val="20"/>
        </w:rPr>
        <w:t>;</w:t>
      </w:r>
      <w:r w:rsidRPr="00F47597">
        <w:rPr>
          <w:b w:val="0"/>
          <w:szCs w:val="20"/>
        </w:rPr>
        <w:t xml:space="preserve"> </w:t>
      </w:r>
      <w:r w:rsidRPr="00F47597">
        <w:rPr>
          <w:szCs w:val="20"/>
        </w:rPr>
        <w:t>Garren Knell,</w:t>
      </w:r>
      <w:r w:rsidRPr="00F47597">
        <w:rPr>
          <w:b w:val="0"/>
          <w:szCs w:val="20"/>
        </w:rPr>
        <w:t xml:space="preserve"> </w:t>
      </w:r>
      <w:proofErr w:type="spellStart"/>
      <w:r w:rsidRPr="00F47597">
        <w:rPr>
          <w:b w:val="0"/>
          <w:szCs w:val="20"/>
        </w:rPr>
        <w:t>ConsultAg</w:t>
      </w:r>
      <w:proofErr w:type="spellEnd"/>
      <w:r w:rsidRPr="00F47597">
        <w:rPr>
          <w:b w:val="0"/>
          <w:szCs w:val="20"/>
        </w:rPr>
        <w:t>.</w:t>
      </w:r>
    </w:p>
    <w:p w14:paraId="1A9E73DD" w14:textId="77777777" w:rsidR="00284E06" w:rsidRDefault="00284E06" w:rsidP="00F47597">
      <w:pPr>
        <w:tabs>
          <w:tab w:val="left" w:pos="2268"/>
        </w:tabs>
        <w:rPr>
          <w:b/>
          <w:bCs/>
        </w:rPr>
      </w:pPr>
    </w:p>
    <w:p w14:paraId="4BCFA2CD" w14:textId="77777777" w:rsidR="00F47597" w:rsidRPr="00284E06" w:rsidRDefault="00F47597" w:rsidP="00F47597">
      <w:pPr>
        <w:tabs>
          <w:tab w:val="left" w:pos="2268"/>
        </w:tabs>
        <w:rPr>
          <w:iCs/>
        </w:rPr>
      </w:pPr>
      <w:r>
        <w:rPr>
          <w:b/>
          <w:bCs/>
        </w:rPr>
        <w:t xml:space="preserve">GRDC Project Code Number: </w:t>
      </w:r>
      <w:r>
        <w:rPr>
          <w:i/>
          <w:iCs/>
        </w:rPr>
        <w:t xml:space="preserve"> </w:t>
      </w:r>
      <w:r w:rsidRPr="00284E06">
        <w:rPr>
          <w:iCs/>
        </w:rPr>
        <w:t>DAW00256</w:t>
      </w:r>
    </w:p>
    <w:p w14:paraId="77A5712E" w14:textId="77777777" w:rsidR="00F47597" w:rsidRPr="00171600" w:rsidRDefault="00F47597" w:rsidP="00171600">
      <w:pPr>
        <w:pStyle w:val="Heading2"/>
        <w:rPr>
          <w:b w:val="0"/>
          <w:sz w:val="20"/>
          <w:szCs w:val="20"/>
        </w:rPr>
      </w:pPr>
      <w:r>
        <w:t>Key words</w:t>
      </w:r>
      <w:r w:rsidR="003B4873">
        <w:t xml:space="preserve"> </w:t>
      </w:r>
      <w:r w:rsidRPr="00171600">
        <w:rPr>
          <w:b w:val="0"/>
          <w:i/>
          <w:sz w:val="20"/>
          <w:szCs w:val="20"/>
        </w:rPr>
        <w:t xml:space="preserve">Rhizoctonia </w:t>
      </w:r>
      <w:proofErr w:type="spellStart"/>
      <w:r w:rsidRPr="00171600">
        <w:rPr>
          <w:b w:val="0"/>
          <w:i/>
          <w:sz w:val="20"/>
          <w:szCs w:val="20"/>
        </w:rPr>
        <w:t>solani</w:t>
      </w:r>
      <w:proofErr w:type="spellEnd"/>
      <w:r w:rsidRPr="00171600">
        <w:rPr>
          <w:b w:val="0"/>
          <w:sz w:val="20"/>
          <w:szCs w:val="20"/>
        </w:rPr>
        <w:t xml:space="preserve"> AG8, </w:t>
      </w:r>
      <w:proofErr w:type="spellStart"/>
      <w:r w:rsidR="00AD2D56" w:rsidRPr="00171600">
        <w:rPr>
          <w:b w:val="0"/>
          <w:i/>
          <w:sz w:val="20"/>
          <w:szCs w:val="20"/>
        </w:rPr>
        <w:t>Pratylenchus</w:t>
      </w:r>
      <w:proofErr w:type="spellEnd"/>
      <w:r w:rsidR="00AD2D56" w:rsidRPr="00171600">
        <w:rPr>
          <w:b w:val="0"/>
          <w:i/>
          <w:sz w:val="20"/>
          <w:szCs w:val="20"/>
        </w:rPr>
        <w:t xml:space="preserve"> </w:t>
      </w:r>
      <w:proofErr w:type="spellStart"/>
      <w:r w:rsidR="00AD2D56" w:rsidRPr="00171600">
        <w:rPr>
          <w:b w:val="0"/>
          <w:i/>
          <w:sz w:val="20"/>
          <w:szCs w:val="20"/>
        </w:rPr>
        <w:t>quasitereoides</w:t>
      </w:r>
      <w:proofErr w:type="spellEnd"/>
      <w:r w:rsidR="00AD2D56" w:rsidRPr="00171600">
        <w:rPr>
          <w:b w:val="0"/>
          <w:i/>
          <w:sz w:val="20"/>
          <w:szCs w:val="20"/>
        </w:rPr>
        <w:t xml:space="preserve">, </w:t>
      </w:r>
      <w:proofErr w:type="spellStart"/>
      <w:r w:rsidRPr="00171600">
        <w:rPr>
          <w:b w:val="0"/>
          <w:i/>
          <w:sz w:val="20"/>
          <w:szCs w:val="20"/>
        </w:rPr>
        <w:t>Pratylenchus</w:t>
      </w:r>
      <w:proofErr w:type="spellEnd"/>
      <w:r w:rsidRPr="00171600">
        <w:rPr>
          <w:b w:val="0"/>
          <w:i/>
          <w:sz w:val="20"/>
          <w:szCs w:val="20"/>
        </w:rPr>
        <w:t xml:space="preserve"> neglectus</w:t>
      </w:r>
      <w:r w:rsidR="00AD2D56" w:rsidRPr="00171600">
        <w:rPr>
          <w:b w:val="0"/>
          <w:sz w:val="20"/>
          <w:szCs w:val="20"/>
        </w:rPr>
        <w:t>,</w:t>
      </w:r>
      <w:r w:rsidRPr="00171600">
        <w:rPr>
          <w:b w:val="0"/>
          <w:sz w:val="20"/>
          <w:szCs w:val="20"/>
        </w:rPr>
        <w:t xml:space="preserve"> barley, canola, field pea, lupin, serradella, </w:t>
      </w:r>
      <w:proofErr w:type="spellStart"/>
      <w:r w:rsidRPr="00171600">
        <w:rPr>
          <w:b w:val="0"/>
          <w:sz w:val="20"/>
          <w:szCs w:val="20"/>
        </w:rPr>
        <w:t>subclover</w:t>
      </w:r>
      <w:proofErr w:type="spellEnd"/>
      <w:r w:rsidRPr="00171600">
        <w:rPr>
          <w:b w:val="0"/>
          <w:sz w:val="20"/>
          <w:szCs w:val="20"/>
        </w:rPr>
        <w:t>,</w:t>
      </w:r>
      <w:r w:rsidR="00AD2D56" w:rsidRPr="00171600">
        <w:rPr>
          <w:b w:val="0"/>
          <w:sz w:val="20"/>
          <w:szCs w:val="20"/>
        </w:rPr>
        <w:t xml:space="preserve"> vetch,</w:t>
      </w:r>
      <w:r w:rsidRPr="00171600">
        <w:rPr>
          <w:b w:val="0"/>
          <w:sz w:val="20"/>
          <w:szCs w:val="20"/>
        </w:rPr>
        <w:t xml:space="preserve"> wheat</w:t>
      </w:r>
      <w:r w:rsidR="00054C03" w:rsidRPr="00171600">
        <w:rPr>
          <w:b w:val="0"/>
          <w:sz w:val="20"/>
          <w:szCs w:val="20"/>
        </w:rPr>
        <w:t>.</w:t>
      </w:r>
    </w:p>
    <w:p w14:paraId="20F3E255" w14:textId="77777777" w:rsidR="008C6588" w:rsidRPr="008F2638" w:rsidRDefault="008C6588" w:rsidP="008F2638">
      <w:pPr>
        <w:pStyle w:val="Heading2"/>
      </w:pPr>
      <w:r w:rsidRPr="008F2638">
        <w:t xml:space="preserve">Key </w:t>
      </w:r>
      <w:r w:rsidR="000D10A8" w:rsidRPr="008F2638">
        <w:t>m</w:t>
      </w:r>
      <w:r w:rsidRPr="008F2638">
        <w:t>essages</w:t>
      </w:r>
    </w:p>
    <w:p w14:paraId="473E8AA7" w14:textId="77777777" w:rsidR="007F0F60" w:rsidRPr="001A25EF" w:rsidRDefault="00701F41" w:rsidP="001A25EF">
      <w:pPr>
        <w:pStyle w:val="ListParagraph"/>
      </w:pPr>
      <w:r>
        <w:t>To reduce the risk of yield loss i</w:t>
      </w:r>
      <w:r w:rsidR="007F0F60" w:rsidRPr="001A25EF">
        <w:t xml:space="preserve">t is imperative to </w:t>
      </w:r>
      <w:r w:rsidR="00D91AB0" w:rsidRPr="001A25EF">
        <w:t>understand which</w:t>
      </w:r>
      <w:r w:rsidR="007F0F60" w:rsidRPr="001A25EF">
        <w:t xml:space="preserve"> soil</w:t>
      </w:r>
      <w:r w:rsidR="004166EE" w:rsidRPr="001A25EF">
        <w:t>borne</w:t>
      </w:r>
      <w:r w:rsidR="007F0F60" w:rsidRPr="001A25EF">
        <w:t xml:space="preserve"> pests and disease</w:t>
      </w:r>
      <w:r w:rsidR="004166EE" w:rsidRPr="001A25EF">
        <w:t>s</w:t>
      </w:r>
      <w:r w:rsidR="007F0F60" w:rsidRPr="001A25EF">
        <w:t xml:space="preserve"> </w:t>
      </w:r>
      <w:r w:rsidR="00D91AB0" w:rsidRPr="001A25EF">
        <w:t>are</w:t>
      </w:r>
      <w:r w:rsidR="007F0F60" w:rsidRPr="001A25EF">
        <w:t xml:space="preserve"> </w:t>
      </w:r>
      <w:r w:rsidR="001A25EF">
        <w:t>present</w:t>
      </w:r>
      <w:r w:rsidR="007F0F60" w:rsidRPr="001A25EF">
        <w:t xml:space="preserve"> before making </w:t>
      </w:r>
      <w:r w:rsidR="00A43BF6">
        <w:t xml:space="preserve">crop rotation </w:t>
      </w:r>
      <w:r w:rsidR="007F0F60" w:rsidRPr="001A25EF">
        <w:t>decisions</w:t>
      </w:r>
      <w:r w:rsidR="00D91AB0" w:rsidRPr="001A25EF">
        <w:t>.</w:t>
      </w:r>
    </w:p>
    <w:p w14:paraId="455A1637" w14:textId="77777777" w:rsidR="008A40C2" w:rsidRPr="001A25EF" w:rsidRDefault="007F0F60" w:rsidP="001A25EF">
      <w:pPr>
        <w:pStyle w:val="ListParagraph"/>
      </w:pPr>
      <w:r w:rsidRPr="001A25EF">
        <w:t>Weed</w:t>
      </w:r>
      <w:r w:rsidR="00A43BF6">
        <w:t>-</w:t>
      </w:r>
      <w:r w:rsidRPr="001A25EF">
        <w:t>free fallow</w:t>
      </w:r>
      <w:r w:rsidR="001A25EF" w:rsidRPr="001A25EF">
        <w:t>, pulses</w:t>
      </w:r>
      <w:r w:rsidRPr="001A25EF">
        <w:t xml:space="preserve"> and pastures </w:t>
      </w:r>
      <w:r w:rsidR="008A40C2" w:rsidRPr="001A25EF">
        <w:t xml:space="preserve">can be </w:t>
      </w:r>
      <w:r w:rsidRPr="001A25EF">
        <w:t xml:space="preserve">the best options where </w:t>
      </w:r>
      <w:r w:rsidR="0052036B" w:rsidRPr="001A25EF">
        <w:t>root lesion nematodes (</w:t>
      </w:r>
      <w:r w:rsidRPr="001A25EF">
        <w:t>RLN</w:t>
      </w:r>
      <w:r w:rsidR="0052036B" w:rsidRPr="001A25EF">
        <w:t>)</w:t>
      </w:r>
      <w:r w:rsidRPr="001A25EF">
        <w:t xml:space="preserve"> and </w:t>
      </w:r>
      <w:r w:rsidRPr="00422796">
        <w:rPr>
          <w:i/>
        </w:rPr>
        <w:t>R</w:t>
      </w:r>
      <w:r w:rsidR="00087FF5" w:rsidRPr="00422796">
        <w:rPr>
          <w:i/>
        </w:rPr>
        <w:t>hizoctonia</w:t>
      </w:r>
      <w:r w:rsidRPr="00422796">
        <w:rPr>
          <w:i/>
        </w:rPr>
        <w:t xml:space="preserve"> </w:t>
      </w:r>
      <w:proofErr w:type="spellStart"/>
      <w:r w:rsidRPr="00422796">
        <w:rPr>
          <w:i/>
        </w:rPr>
        <w:t>solani</w:t>
      </w:r>
      <w:proofErr w:type="spellEnd"/>
      <w:r w:rsidRPr="001A25EF">
        <w:t xml:space="preserve"> </w:t>
      </w:r>
      <w:r w:rsidR="001A25EF" w:rsidRPr="001A25EF">
        <w:t xml:space="preserve">AG8 </w:t>
      </w:r>
      <w:r w:rsidRPr="001A25EF">
        <w:t>co-exist in a paddock</w:t>
      </w:r>
      <w:r w:rsidR="008A40C2" w:rsidRPr="001A25EF">
        <w:t>.</w:t>
      </w:r>
    </w:p>
    <w:p w14:paraId="2C1304E3" w14:textId="77777777" w:rsidR="00F47597" w:rsidRPr="001A25EF" w:rsidRDefault="00F47597" w:rsidP="001A25EF">
      <w:pPr>
        <w:pStyle w:val="ListParagraph"/>
      </w:pPr>
      <w:r w:rsidRPr="001A25EF">
        <w:t>Canola is not a</w:t>
      </w:r>
      <w:r w:rsidR="001A25EF">
        <w:t>n effective</w:t>
      </w:r>
      <w:r w:rsidRPr="001A25EF">
        <w:t xml:space="preserve"> </w:t>
      </w:r>
      <w:r w:rsidR="002911AF">
        <w:t>break crop</w:t>
      </w:r>
      <w:r w:rsidRPr="001A25EF">
        <w:t xml:space="preserve"> </w:t>
      </w:r>
      <w:r w:rsidR="001A25EF">
        <w:t xml:space="preserve">for </w:t>
      </w:r>
      <w:r w:rsidRPr="001A25EF">
        <w:t>RLN</w:t>
      </w:r>
      <w:r w:rsidR="001A25EF">
        <w:t>.</w:t>
      </w:r>
    </w:p>
    <w:p w14:paraId="70AF4830" w14:textId="77777777" w:rsidR="00F47597" w:rsidRPr="001A25EF" w:rsidRDefault="00F47597" w:rsidP="001A25EF">
      <w:pPr>
        <w:pStyle w:val="ListParagraph"/>
      </w:pPr>
      <w:r w:rsidRPr="001A25EF">
        <w:t xml:space="preserve">Cereals </w:t>
      </w:r>
      <w:r w:rsidR="00A43BF6">
        <w:t xml:space="preserve">can </w:t>
      </w:r>
      <w:r w:rsidRPr="001A25EF">
        <w:t xml:space="preserve">substantially increase RLN and </w:t>
      </w:r>
      <w:r w:rsidRPr="00422796">
        <w:rPr>
          <w:i/>
        </w:rPr>
        <w:t xml:space="preserve">R. </w:t>
      </w:r>
      <w:proofErr w:type="spellStart"/>
      <w:r w:rsidRPr="00422796">
        <w:rPr>
          <w:i/>
        </w:rPr>
        <w:t>solani</w:t>
      </w:r>
      <w:proofErr w:type="spellEnd"/>
      <w:r w:rsidRPr="001A25EF" w:rsidDel="00D2078E">
        <w:t xml:space="preserve"> </w:t>
      </w:r>
      <w:r w:rsidRPr="001A25EF">
        <w:t>levels</w:t>
      </w:r>
      <w:r w:rsidR="00B84952" w:rsidRPr="001A25EF">
        <w:t xml:space="preserve"> </w:t>
      </w:r>
      <w:r w:rsidR="00AB45F1">
        <w:t>with</w:t>
      </w:r>
      <w:r w:rsidR="00B84952" w:rsidRPr="001A25EF">
        <w:t xml:space="preserve">in one </w:t>
      </w:r>
      <w:r w:rsidR="002C4EBF" w:rsidRPr="001A25EF">
        <w:t xml:space="preserve">cropping </w:t>
      </w:r>
      <w:r w:rsidR="00B84952" w:rsidRPr="001A25EF">
        <w:t>season</w:t>
      </w:r>
      <w:r w:rsidRPr="001A25EF">
        <w:t>.</w:t>
      </w:r>
    </w:p>
    <w:p w14:paraId="0F713D78" w14:textId="77777777" w:rsidR="008C6588" w:rsidRDefault="008C6588" w:rsidP="008F2638">
      <w:pPr>
        <w:pStyle w:val="Heading2"/>
      </w:pPr>
      <w:r>
        <w:t>Aims</w:t>
      </w:r>
    </w:p>
    <w:p w14:paraId="064FEAF5" w14:textId="77777777" w:rsidR="00F47597" w:rsidRDefault="00376079" w:rsidP="00F47597">
      <w:r>
        <w:t xml:space="preserve">Two-year rotation trials were implemented </w:t>
      </w:r>
      <w:r w:rsidR="00A43BF6">
        <w:t xml:space="preserve">at </w:t>
      </w:r>
      <w:r>
        <w:t>Calingiri, Dumbleyung and Grass Valley t</w:t>
      </w:r>
      <w:r w:rsidR="00F47597">
        <w:t xml:space="preserve">o investigate the most effective and profitable </w:t>
      </w:r>
      <w:r w:rsidR="002911AF">
        <w:t>break crop</w:t>
      </w:r>
      <w:r w:rsidR="00F47597">
        <w:t xml:space="preserve">s in rotation with cereals (wheat) for growers with RLN and </w:t>
      </w:r>
      <w:r w:rsidR="00F47597" w:rsidRPr="001B3C83">
        <w:rPr>
          <w:i/>
        </w:rPr>
        <w:t xml:space="preserve">R. </w:t>
      </w:r>
      <w:proofErr w:type="spellStart"/>
      <w:r w:rsidR="00F47597" w:rsidRPr="001B3C83">
        <w:rPr>
          <w:i/>
        </w:rPr>
        <w:t>solani</w:t>
      </w:r>
      <w:proofErr w:type="spellEnd"/>
      <w:r w:rsidR="00F47597">
        <w:t xml:space="preserve"> in the same paddock</w:t>
      </w:r>
      <w:r>
        <w:t>.</w:t>
      </w:r>
      <w:r w:rsidR="00F47597">
        <w:t xml:space="preserve"> </w:t>
      </w:r>
    </w:p>
    <w:p w14:paraId="42F55B9F" w14:textId="77777777" w:rsidR="00F47597" w:rsidRDefault="00D47CF1" w:rsidP="00F47597">
      <w:pPr>
        <w:pStyle w:val="Heading2"/>
      </w:pPr>
      <w:r>
        <w:t>Introduction</w:t>
      </w:r>
    </w:p>
    <w:p w14:paraId="59C8B974" w14:textId="169AB5F3" w:rsidR="002A2884" w:rsidRDefault="00623D57" w:rsidP="00F47597">
      <w:r w:rsidRPr="00623D57">
        <w:rPr>
          <w:i/>
        </w:rPr>
        <w:t>R</w:t>
      </w:r>
      <w:r w:rsidR="002A2884">
        <w:rPr>
          <w:i/>
        </w:rPr>
        <w:t>hizoctonia</w:t>
      </w:r>
      <w:r w:rsidRPr="00623D57">
        <w:rPr>
          <w:i/>
        </w:rPr>
        <w:t xml:space="preserve"> </w:t>
      </w:r>
      <w:proofErr w:type="spellStart"/>
      <w:r w:rsidRPr="00623D57">
        <w:rPr>
          <w:i/>
        </w:rPr>
        <w:t>solani</w:t>
      </w:r>
      <w:proofErr w:type="spellEnd"/>
      <w:r>
        <w:t xml:space="preserve"> </w:t>
      </w:r>
      <w:r w:rsidR="002A2884">
        <w:t>AG8 (</w:t>
      </w:r>
      <w:r w:rsidR="00055DAD">
        <w:t>R</w:t>
      </w:r>
      <w:r w:rsidR="002A2884">
        <w:t xml:space="preserve">hizoctonia bare patch) </w:t>
      </w:r>
      <w:r>
        <w:t xml:space="preserve">is a fungal pathogen that causes root rot in </w:t>
      </w:r>
      <w:r w:rsidR="00B35B9E">
        <w:t>several</w:t>
      </w:r>
      <w:r>
        <w:t xml:space="preserve"> </w:t>
      </w:r>
      <w:r w:rsidR="001A25EF">
        <w:t xml:space="preserve">Western Australian </w:t>
      </w:r>
      <w:r>
        <w:t xml:space="preserve">crops and can cause significant yield losses; up to </w:t>
      </w:r>
      <w:r w:rsidRPr="002F56E5">
        <w:t>50</w:t>
      </w:r>
      <w:r>
        <w:t xml:space="preserve">% in wheat (Table 1). Root lesion nematodes (RLN) can </w:t>
      </w:r>
      <w:r w:rsidR="002A2884">
        <w:t xml:space="preserve">also </w:t>
      </w:r>
      <w:r>
        <w:t xml:space="preserve">cause significant </w:t>
      </w:r>
      <w:r w:rsidR="00A43BF6">
        <w:t xml:space="preserve">crop </w:t>
      </w:r>
      <w:r>
        <w:t>yield loss</w:t>
      </w:r>
      <w:r w:rsidR="00A43BF6">
        <w:t>es</w:t>
      </w:r>
      <w:r>
        <w:t>; up to 40% in wheat (Table 1</w:t>
      </w:r>
      <w:r w:rsidRPr="00FA4B8F">
        <w:t>)</w:t>
      </w:r>
      <w:r w:rsidR="00501C36">
        <w:t>. For RLN alone</w:t>
      </w:r>
      <w:r w:rsidR="00A43BF6">
        <w:t>,</w:t>
      </w:r>
      <w:r w:rsidR="00501C36">
        <w:t xml:space="preserve"> this eq</w:t>
      </w:r>
      <w:r w:rsidR="00AD2D56">
        <w:t xml:space="preserve">uates to losses </w:t>
      </w:r>
      <w:r w:rsidR="00501C36">
        <w:t xml:space="preserve">in WA </w:t>
      </w:r>
      <w:r w:rsidR="00AD2D56">
        <w:t xml:space="preserve">of </w:t>
      </w:r>
      <w:r w:rsidR="00501C36">
        <w:t xml:space="preserve">up to AU$90M annually in </w:t>
      </w:r>
      <w:r w:rsidR="002A2884" w:rsidRPr="00BA553A">
        <w:t xml:space="preserve">wheat </w:t>
      </w:r>
      <w:r w:rsidR="00501C36">
        <w:t>crops</w:t>
      </w:r>
      <w:r w:rsidR="002A2884" w:rsidRPr="00BA553A">
        <w:t xml:space="preserve"> </w:t>
      </w:r>
      <w:r w:rsidR="0004340E" w:rsidRPr="00BA553A">
        <w:t>(Brennan et al 2018; Murray et al 2009)</w:t>
      </w:r>
      <w:r w:rsidR="00AD2D56">
        <w:t xml:space="preserve">. </w:t>
      </w:r>
      <w:r w:rsidR="0004340E" w:rsidRPr="00BA553A">
        <w:t xml:space="preserve"> </w:t>
      </w:r>
      <w:r w:rsidR="00501C36">
        <w:t xml:space="preserve">In WA, </w:t>
      </w:r>
      <w:r w:rsidR="00055DAD">
        <w:t>R</w:t>
      </w:r>
      <w:r w:rsidR="00501C36">
        <w:t>hizoctonia bare patch</w:t>
      </w:r>
      <w:r w:rsidR="00501C36" w:rsidRPr="00BA553A">
        <w:t xml:space="preserve"> </w:t>
      </w:r>
      <w:r w:rsidR="00501C36">
        <w:t>and RLN often occur together in the same paddock, making management more complicated. Therefore,</w:t>
      </w:r>
      <w:r w:rsidR="002A2884" w:rsidRPr="00BA553A">
        <w:t xml:space="preserve"> it</w:t>
      </w:r>
      <w:r w:rsidRPr="00BA553A">
        <w:t xml:space="preserve"> is </w:t>
      </w:r>
      <w:r w:rsidR="002A2884" w:rsidRPr="00BA553A">
        <w:t xml:space="preserve">imperative </w:t>
      </w:r>
      <w:r w:rsidRPr="00BA553A">
        <w:t xml:space="preserve">for </w:t>
      </w:r>
      <w:r w:rsidR="00DF2AC4" w:rsidRPr="00BA553A">
        <w:t xml:space="preserve">grain </w:t>
      </w:r>
      <w:r w:rsidRPr="00BA553A">
        <w:t xml:space="preserve">growers in </w:t>
      </w:r>
      <w:r w:rsidR="006851E8" w:rsidRPr="00BA553A">
        <w:t>WA</w:t>
      </w:r>
      <w:r w:rsidR="005B5038" w:rsidRPr="00BA553A">
        <w:t xml:space="preserve"> </w:t>
      </w:r>
      <w:r w:rsidRPr="00BA553A">
        <w:t xml:space="preserve">to </w:t>
      </w:r>
      <w:r w:rsidR="00A43BF6">
        <w:t>have</w:t>
      </w:r>
      <w:r w:rsidR="00A43BF6" w:rsidRPr="00BA553A">
        <w:t xml:space="preserve"> </w:t>
      </w:r>
      <w:r w:rsidRPr="00BA553A">
        <w:t xml:space="preserve">suitable crop rotations for these </w:t>
      </w:r>
      <w:r w:rsidR="003077C8">
        <w:t xml:space="preserve">soilborne </w:t>
      </w:r>
      <w:r w:rsidRPr="00BA553A">
        <w:t>diseases</w:t>
      </w:r>
      <w:r w:rsidR="00501C36">
        <w:t xml:space="preserve">. </w:t>
      </w:r>
    </w:p>
    <w:p w14:paraId="047F770E" w14:textId="77777777" w:rsidR="00376079" w:rsidRDefault="00376079" w:rsidP="00376079">
      <w:r>
        <w:t>This paper presents the findings from the first</w:t>
      </w:r>
      <w:r w:rsidR="00640E22">
        <w:t>-</w:t>
      </w:r>
      <w:r>
        <w:t xml:space="preserve">year </w:t>
      </w:r>
      <w:r w:rsidR="002911AF">
        <w:t>break crop</w:t>
      </w:r>
      <w:r>
        <w:t xml:space="preserve"> </w:t>
      </w:r>
      <w:r w:rsidR="001A25EF">
        <w:t>phase at</w:t>
      </w:r>
      <w:r>
        <w:t xml:space="preserve"> Calingiri (2019) and the second</w:t>
      </w:r>
      <w:r w:rsidR="005C613C">
        <w:t>-</w:t>
      </w:r>
      <w:r>
        <w:t xml:space="preserve">year </w:t>
      </w:r>
      <w:r w:rsidR="001A25EF">
        <w:t xml:space="preserve">cereal phase (2019) </w:t>
      </w:r>
      <w:r w:rsidR="00A43BF6">
        <w:t xml:space="preserve">at Dumbleyung and Grass Valley which followed </w:t>
      </w:r>
      <w:r w:rsidR="00543C4C">
        <w:t xml:space="preserve">2018 </w:t>
      </w:r>
      <w:r w:rsidR="002911AF">
        <w:t>break crop</w:t>
      </w:r>
      <w:r w:rsidR="00543C4C" w:rsidRPr="004C26DB">
        <w:t>s</w:t>
      </w:r>
      <w:r>
        <w:t>.</w:t>
      </w:r>
      <w:r w:rsidR="00857165">
        <w:t xml:space="preserve"> Results of the first</w:t>
      </w:r>
      <w:r w:rsidR="005C613C">
        <w:t>-</w:t>
      </w:r>
      <w:r w:rsidR="00857165">
        <w:t xml:space="preserve">year </w:t>
      </w:r>
      <w:r w:rsidR="002911AF">
        <w:t>break crop</w:t>
      </w:r>
      <w:r w:rsidR="00857165">
        <w:t xml:space="preserve"> rotation at </w:t>
      </w:r>
      <w:r w:rsidR="00A43BF6">
        <w:t>Dumbleyung and Grass Valley are</w:t>
      </w:r>
      <w:r w:rsidR="00857165">
        <w:t xml:space="preserve"> presented in </w:t>
      </w:r>
      <w:r w:rsidR="00C17B4E">
        <w:t>the 2019</w:t>
      </w:r>
      <w:r w:rsidR="00857165">
        <w:t xml:space="preserve"> Research Updates paper (Swift et al 2019). </w:t>
      </w:r>
    </w:p>
    <w:p w14:paraId="2906F462" w14:textId="77777777" w:rsidR="00AE781C" w:rsidRPr="00171600" w:rsidRDefault="00AE781C" w:rsidP="00AE781C">
      <w:pPr>
        <w:pStyle w:val="Caption"/>
        <w:rPr>
          <w:b/>
          <w:sz w:val="22"/>
          <w:szCs w:val="22"/>
          <w:lang w:eastAsia="en-AU"/>
        </w:rPr>
      </w:pPr>
      <w:r w:rsidRPr="00171600">
        <w:rPr>
          <w:b/>
          <w:sz w:val="22"/>
          <w:szCs w:val="22"/>
          <w:lang w:eastAsia="en-AU"/>
        </w:rPr>
        <w:t xml:space="preserve">Table 1. Western region </w:t>
      </w:r>
      <w:r w:rsidR="00D6490B" w:rsidRPr="00171600">
        <w:rPr>
          <w:b/>
          <w:sz w:val="22"/>
          <w:szCs w:val="22"/>
          <w:lang w:eastAsia="en-AU"/>
        </w:rPr>
        <w:t xml:space="preserve">wheat </w:t>
      </w:r>
      <w:r w:rsidRPr="00171600">
        <w:rPr>
          <w:b/>
          <w:sz w:val="22"/>
          <w:szCs w:val="22"/>
          <w:lang w:eastAsia="en-AU"/>
        </w:rPr>
        <w:t>yield loss risk categories for root lesion nematodes (RLN);</w:t>
      </w:r>
      <w:r w:rsidRPr="00171600">
        <w:rPr>
          <w:b/>
          <w:sz w:val="22"/>
          <w:szCs w:val="22"/>
        </w:rPr>
        <w:t xml:space="preserve"> </w:t>
      </w:r>
      <w:proofErr w:type="spellStart"/>
      <w:r w:rsidRPr="00171600">
        <w:rPr>
          <w:b/>
          <w:i/>
          <w:sz w:val="22"/>
          <w:szCs w:val="22"/>
          <w:lang w:eastAsia="en-AU"/>
        </w:rPr>
        <w:t>Pratylenchus</w:t>
      </w:r>
      <w:proofErr w:type="spellEnd"/>
      <w:r w:rsidRPr="00171600">
        <w:rPr>
          <w:b/>
          <w:i/>
          <w:sz w:val="22"/>
          <w:szCs w:val="22"/>
          <w:lang w:eastAsia="en-AU"/>
        </w:rPr>
        <w:t xml:space="preserve"> neglectus</w:t>
      </w:r>
      <w:r w:rsidRPr="00171600">
        <w:rPr>
          <w:b/>
          <w:sz w:val="22"/>
          <w:szCs w:val="22"/>
          <w:lang w:eastAsia="en-AU"/>
        </w:rPr>
        <w:t xml:space="preserve"> and </w:t>
      </w:r>
      <w:r w:rsidRPr="00171600">
        <w:rPr>
          <w:rFonts w:eastAsia="Times New Roman" w:cs="Arial"/>
          <w:b/>
          <w:i/>
          <w:sz w:val="22"/>
          <w:szCs w:val="22"/>
          <w:lang w:eastAsia="en-AU"/>
        </w:rPr>
        <w:t>P. </w:t>
      </w:r>
      <w:proofErr w:type="spellStart"/>
      <w:r w:rsidRPr="00171600">
        <w:rPr>
          <w:rFonts w:eastAsia="Times New Roman" w:cs="Arial"/>
          <w:b/>
          <w:i/>
          <w:sz w:val="22"/>
          <w:szCs w:val="22"/>
          <w:lang w:eastAsia="en-AU"/>
        </w:rPr>
        <w:t>quasitereoides</w:t>
      </w:r>
      <w:proofErr w:type="spellEnd"/>
      <w:r w:rsidRPr="00171600">
        <w:rPr>
          <w:rFonts w:eastAsia="Times New Roman" w:cs="Arial"/>
          <w:b/>
          <w:sz w:val="22"/>
          <w:szCs w:val="22"/>
          <w:lang w:eastAsia="en-AU"/>
        </w:rPr>
        <w:t>,</w:t>
      </w:r>
      <w:r w:rsidRPr="00171600">
        <w:rPr>
          <w:rFonts w:eastAsia="Times New Roman" w:cs="Arial"/>
          <w:b/>
          <w:i/>
          <w:sz w:val="22"/>
          <w:szCs w:val="22"/>
          <w:lang w:eastAsia="en-AU"/>
        </w:rPr>
        <w:t xml:space="preserve"> </w:t>
      </w:r>
      <w:r w:rsidRPr="00171600">
        <w:rPr>
          <w:rFonts w:eastAsia="Times New Roman" w:cs="Arial"/>
          <w:b/>
          <w:sz w:val="22"/>
          <w:szCs w:val="22"/>
          <w:lang w:eastAsia="en-AU"/>
        </w:rPr>
        <w:t>and</w:t>
      </w:r>
      <w:r w:rsidRPr="00171600">
        <w:rPr>
          <w:rFonts w:eastAsia="Times New Roman" w:cs="Arial"/>
          <w:b/>
          <w:i/>
          <w:sz w:val="22"/>
          <w:szCs w:val="22"/>
          <w:lang w:eastAsia="en-AU"/>
        </w:rPr>
        <w:t xml:space="preserve"> Rhizoctonia </w:t>
      </w:r>
      <w:proofErr w:type="spellStart"/>
      <w:r w:rsidRPr="00171600">
        <w:rPr>
          <w:rFonts w:eastAsia="Times New Roman" w:cs="Arial"/>
          <w:b/>
          <w:i/>
          <w:sz w:val="22"/>
          <w:szCs w:val="22"/>
          <w:lang w:eastAsia="en-AU"/>
        </w:rPr>
        <w:t>solani</w:t>
      </w:r>
      <w:proofErr w:type="spellEnd"/>
      <w:r w:rsidRPr="00171600">
        <w:rPr>
          <w:rFonts w:eastAsia="Times New Roman" w:cs="Arial"/>
          <w:b/>
          <w:i/>
          <w:sz w:val="22"/>
          <w:szCs w:val="22"/>
          <w:lang w:eastAsia="en-AU"/>
        </w:rPr>
        <w:t xml:space="preserve"> </w:t>
      </w:r>
      <w:r w:rsidRPr="00171600">
        <w:rPr>
          <w:rFonts w:eastAsia="Times New Roman" w:cs="Arial"/>
          <w:b/>
          <w:sz w:val="22"/>
          <w:szCs w:val="22"/>
          <w:lang w:eastAsia="en-AU"/>
        </w:rPr>
        <w:t>AG8</w:t>
      </w:r>
      <w:r w:rsidRPr="00171600">
        <w:rPr>
          <w:rFonts w:eastAsia="Times New Roman" w:cs="Arial"/>
          <w:b/>
          <w:i/>
          <w:sz w:val="22"/>
          <w:szCs w:val="22"/>
          <w:lang w:eastAsia="en-AU"/>
        </w:rPr>
        <w:t xml:space="preserve"> </w:t>
      </w:r>
      <w:r w:rsidRPr="00171600">
        <w:rPr>
          <w:b/>
          <w:sz w:val="22"/>
          <w:szCs w:val="22"/>
          <w:lang w:eastAsia="en-AU"/>
        </w:rPr>
        <w:t>(McKay et al 2018)</w:t>
      </w:r>
      <w:r w:rsidR="004166EE" w:rsidRPr="00171600">
        <w:rPr>
          <w:b/>
          <w:sz w:val="22"/>
          <w:szCs w:val="22"/>
          <w:lang w:eastAsia="en-AU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911AF" w:rsidRPr="002911AF" w14:paraId="16DA1354" w14:textId="77777777" w:rsidTr="00C20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A1218" w14:textId="77777777" w:rsidR="00AE781C" w:rsidRPr="002911AF" w:rsidRDefault="00AE781C" w:rsidP="00C206F6">
            <w:pPr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911AF">
              <w:rPr>
                <w:rFonts w:eastAsia="Times New Roman" w:cs="Arial"/>
                <w:sz w:val="18"/>
                <w:szCs w:val="18"/>
                <w:lang w:eastAsia="en-AU"/>
              </w:rPr>
              <w:t>Level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4E8ED" w14:textId="77777777" w:rsidR="00AE781C" w:rsidRPr="002911AF" w:rsidRDefault="00AE781C" w:rsidP="00C206F6">
            <w:pPr>
              <w:spacing w:after="0"/>
              <w:jc w:val="center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 w:rsidRPr="002911AF">
              <w:rPr>
                <w:rFonts w:eastAsia="Times New Roman" w:cs="Arial"/>
                <w:i/>
                <w:sz w:val="18"/>
                <w:szCs w:val="18"/>
                <w:lang w:eastAsia="en-AU"/>
              </w:rPr>
              <w:t>P. neglectus</w:t>
            </w:r>
            <w:r w:rsidRPr="002911AF">
              <w:rPr>
                <w:rFonts w:eastAsia="Times New Roman" w:cs="Arial"/>
                <w:i/>
                <w:sz w:val="18"/>
                <w:szCs w:val="18"/>
                <w:lang w:eastAsia="en-AU"/>
              </w:rPr>
              <w:br/>
            </w:r>
            <w:r w:rsidRPr="002911AF">
              <w:rPr>
                <w:rFonts w:eastAsia="Times New Roman" w:cs="Arial"/>
                <w:b w:val="0"/>
                <w:sz w:val="18"/>
                <w:szCs w:val="18"/>
                <w:lang w:eastAsia="en-AU"/>
              </w:rPr>
              <w:t>(RLN/g soil)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8AD81" w14:textId="77777777" w:rsidR="00AE781C" w:rsidRPr="002911AF" w:rsidRDefault="00AE781C" w:rsidP="00C206F6">
            <w:pPr>
              <w:spacing w:after="0"/>
              <w:jc w:val="center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  <w:r w:rsidRPr="002911AF">
              <w:rPr>
                <w:rFonts w:eastAsia="Times New Roman" w:cs="Arial"/>
                <w:i/>
                <w:sz w:val="18"/>
                <w:szCs w:val="18"/>
                <w:lang w:eastAsia="en-AU"/>
              </w:rPr>
              <w:t xml:space="preserve">P. </w:t>
            </w:r>
            <w:proofErr w:type="spellStart"/>
            <w:r w:rsidRPr="002911AF">
              <w:rPr>
                <w:rFonts w:eastAsia="Times New Roman" w:cs="Arial"/>
                <w:i/>
                <w:sz w:val="18"/>
                <w:szCs w:val="18"/>
                <w:lang w:eastAsia="en-AU"/>
              </w:rPr>
              <w:t>quasitereoides</w:t>
            </w:r>
            <w:proofErr w:type="spellEnd"/>
            <w:r w:rsidRPr="002911AF">
              <w:rPr>
                <w:rFonts w:eastAsia="Times New Roman" w:cs="Arial"/>
                <w:i/>
                <w:sz w:val="18"/>
                <w:szCs w:val="18"/>
                <w:lang w:eastAsia="en-AU"/>
              </w:rPr>
              <w:br/>
            </w:r>
            <w:r w:rsidRPr="002911AF">
              <w:rPr>
                <w:rFonts w:eastAsia="Times New Roman" w:cs="Arial"/>
                <w:b w:val="0"/>
                <w:sz w:val="18"/>
                <w:szCs w:val="18"/>
                <w:lang w:eastAsia="en-AU"/>
              </w:rPr>
              <w:t>(RLN/g soil)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50CCD" w14:textId="77777777" w:rsidR="00422796" w:rsidRPr="002911AF" w:rsidRDefault="00422796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911AF">
              <w:rPr>
                <w:rFonts w:eastAsia="Times New Roman" w:cs="Arial"/>
                <w:sz w:val="18"/>
                <w:szCs w:val="18"/>
                <w:lang w:eastAsia="en-AU"/>
              </w:rPr>
              <w:t>RLN</w:t>
            </w:r>
          </w:p>
          <w:p w14:paraId="5008CD45" w14:textId="77777777" w:rsidR="00AE781C" w:rsidRPr="002911AF" w:rsidRDefault="00AE781C" w:rsidP="0042279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911AF">
              <w:rPr>
                <w:rFonts w:eastAsia="Times New Roman" w:cs="Arial"/>
                <w:sz w:val="18"/>
                <w:szCs w:val="18"/>
                <w:lang w:eastAsia="en-AU"/>
              </w:rPr>
              <w:t>Potential yield loss in intolerant wheat varieties (%)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79DC3" w14:textId="77777777" w:rsidR="00AE781C" w:rsidRPr="002911AF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911AF">
              <w:rPr>
                <w:rFonts w:eastAsia="Times New Roman" w:cs="Arial"/>
                <w:i/>
                <w:sz w:val="18"/>
                <w:szCs w:val="18"/>
                <w:lang w:eastAsia="en-AU"/>
              </w:rPr>
              <w:t xml:space="preserve">R. </w:t>
            </w:r>
            <w:proofErr w:type="spellStart"/>
            <w:r w:rsidRPr="002911AF">
              <w:rPr>
                <w:rFonts w:eastAsia="Times New Roman" w:cs="Arial"/>
                <w:i/>
                <w:sz w:val="18"/>
                <w:szCs w:val="18"/>
                <w:lang w:eastAsia="en-AU"/>
              </w:rPr>
              <w:t>solani</w:t>
            </w:r>
            <w:proofErr w:type="spellEnd"/>
            <w:r w:rsidRPr="002911AF">
              <w:rPr>
                <w:rFonts w:eastAsia="Times New Roman" w:cs="Arial"/>
                <w:i/>
                <w:sz w:val="18"/>
                <w:szCs w:val="18"/>
                <w:lang w:eastAsia="en-AU"/>
              </w:rPr>
              <w:t xml:space="preserve"> </w:t>
            </w:r>
            <w:r w:rsidRPr="002911AF">
              <w:rPr>
                <w:rFonts w:eastAsia="Times New Roman" w:cs="Arial"/>
                <w:sz w:val="18"/>
                <w:szCs w:val="18"/>
                <w:lang w:eastAsia="en-AU"/>
              </w:rPr>
              <w:t>AG8</w:t>
            </w:r>
          </w:p>
          <w:p w14:paraId="2B2C4FE8" w14:textId="77777777" w:rsidR="00AE781C" w:rsidRPr="002911AF" w:rsidRDefault="00AE781C" w:rsidP="00C206F6">
            <w:pPr>
              <w:spacing w:after="0"/>
              <w:jc w:val="center"/>
              <w:rPr>
                <w:rFonts w:eastAsia="Times New Roman" w:cs="Arial"/>
                <w:b w:val="0"/>
                <w:sz w:val="18"/>
                <w:szCs w:val="18"/>
                <w:lang w:eastAsia="en-AU"/>
              </w:rPr>
            </w:pPr>
            <w:r w:rsidRPr="002911AF">
              <w:rPr>
                <w:rFonts w:eastAsia="Times New Roman" w:cs="Arial"/>
                <w:b w:val="0"/>
                <w:sz w:val="18"/>
                <w:szCs w:val="18"/>
                <w:lang w:eastAsia="en-AU"/>
              </w:rPr>
              <w:t xml:space="preserve">(log </w:t>
            </w:r>
            <w:proofErr w:type="spellStart"/>
            <w:r w:rsidRPr="002911AF">
              <w:rPr>
                <w:rFonts w:eastAsia="Times New Roman" w:cs="Arial"/>
                <w:b w:val="0"/>
                <w:sz w:val="18"/>
                <w:szCs w:val="18"/>
                <w:lang w:eastAsia="en-AU"/>
              </w:rPr>
              <w:t>pg</w:t>
            </w:r>
            <w:proofErr w:type="spellEnd"/>
            <w:r w:rsidRPr="002911AF">
              <w:rPr>
                <w:rFonts w:eastAsia="Times New Roman" w:cs="Arial"/>
                <w:b w:val="0"/>
                <w:sz w:val="18"/>
                <w:szCs w:val="18"/>
                <w:lang w:eastAsia="en-AU"/>
              </w:rPr>
              <w:t xml:space="preserve"> DNA/g soil)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0239BE" w14:textId="77777777" w:rsidR="00AE781C" w:rsidRPr="002911AF" w:rsidRDefault="00422796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911AF">
              <w:rPr>
                <w:rFonts w:eastAsia="Times New Roman" w:cs="Arial"/>
                <w:i/>
                <w:sz w:val="18"/>
                <w:szCs w:val="18"/>
                <w:lang w:eastAsia="en-AU"/>
              </w:rPr>
              <w:t xml:space="preserve">R. </w:t>
            </w:r>
            <w:proofErr w:type="spellStart"/>
            <w:r w:rsidRPr="002911AF">
              <w:rPr>
                <w:rFonts w:eastAsia="Times New Roman" w:cs="Arial"/>
                <w:i/>
                <w:sz w:val="18"/>
                <w:szCs w:val="18"/>
                <w:lang w:eastAsia="en-AU"/>
              </w:rPr>
              <w:t>solani</w:t>
            </w:r>
            <w:proofErr w:type="spellEnd"/>
            <w:r w:rsidRPr="002911AF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r w:rsidR="00AE781C" w:rsidRPr="002911AF">
              <w:rPr>
                <w:rFonts w:eastAsia="Times New Roman" w:cs="Arial"/>
                <w:sz w:val="18"/>
                <w:szCs w:val="18"/>
                <w:lang w:eastAsia="en-AU"/>
              </w:rPr>
              <w:t>Potential yield loss in wheat (%)</w:t>
            </w:r>
          </w:p>
          <w:p w14:paraId="166E0C49" w14:textId="77777777" w:rsidR="00AE781C" w:rsidRPr="002911AF" w:rsidRDefault="00AE781C" w:rsidP="00C206F6">
            <w:pPr>
              <w:spacing w:after="0"/>
              <w:jc w:val="center"/>
              <w:rPr>
                <w:rFonts w:eastAsia="Times New Roman" w:cs="Arial"/>
                <w:i/>
                <w:sz w:val="18"/>
                <w:szCs w:val="18"/>
                <w:lang w:eastAsia="en-AU"/>
              </w:rPr>
            </w:pPr>
          </w:p>
        </w:tc>
      </w:tr>
      <w:tr w:rsidR="00AE781C" w:rsidRPr="00C52D54" w14:paraId="7C1E247B" w14:textId="77777777" w:rsidTr="00C206F6">
        <w:trPr>
          <w:trHeight w:val="227"/>
        </w:trPr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2449F1" w14:textId="77777777" w:rsidR="00AE781C" w:rsidRPr="00D16DE2" w:rsidRDefault="00AE781C" w:rsidP="00C206F6">
            <w:pPr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Below detection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3586E1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&lt;0.1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8447E5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&lt;0.1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C6F416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8EA5F1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&lt;0.5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80DFFF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&lt;5</w:t>
            </w:r>
          </w:p>
        </w:tc>
      </w:tr>
      <w:tr w:rsidR="00AE781C" w:rsidRPr="00C52D54" w14:paraId="5D004EA0" w14:textId="77777777" w:rsidTr="00C206F6">
        <w:trPr>
          <w:trHeight w:val="227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83A3" w14:textId="77777777" w:rsidR="00AE781C" w:rsidRPr="00D16DE2" w:rsidRDefault="00AE781C" w:rsidP="00C206F6">
            <w:pPr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Low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CEEB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0.1-&lt;5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6EAE1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0.1-&lt;9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ADF3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0-5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738FD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0.5-&lt;1.5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22989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0-10</w:t>
            </w:r>
          </w:p>
        </w:tc>
      </w:tr>
      <w:tr w:rsidR="00AE781C" w:rsidRPr="00C52D54" w14:paraId="3A4D62FA" w14:textId="77777777" w:rsidTr="00C206F6">
        <w:trPr>
          <w:trHeight w:val="227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FD53281" w14:textId="77777777" w:rsidR="00AE781C" w:rsidRPr="00D16DE2" w:rsidRDefault="00AE781C" w:rsidP="00C206F6">
            <w:pPr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Medium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0FF6BA8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5-&lt;25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1D20258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9-&lt;35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0B0BC8A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5-20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73DDA6B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1.5-&lt;2.0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AF0FE01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5-25</w:t>
            </w:r>
          </w:p>
        </w:tc>
      </w:tr>
      <w:tr w:rsidR="00AE781C" w:rsidRPr="00C52D54" w14:paraId="7ED56E7F" w14:textId="77777777" w:rsidTr="00C206F6">
        <w:trPr>
          <w:trHeight w:val="227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AD8FA" w14:textId="77777777" w:rsidR="00AE781C" w:rsidRPr="00D16DE2" w:rsidRDefault="00AE781C" w:rsidP="00C206F6">
            <w:pPr>
              <w:spacing w:after="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High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2C596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&gt;25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2F25F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&gt;35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8E920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20-40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43676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≥2.0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A0B6E" w14:textId="77777777" w:rsidR="00AE781C" w:rsidRPr="00D16DE2" w:rsidRDefault="00AE781C" w:rsidP="00C206F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16DE2">
              <w:rPr>
                <w:rFonts w:eastAsia="Times New Roman" w:cs="Arial"/>
                <w:sz w:val="18"/>
                <w:szCs w:val="18"/>
                <w:lang w:eastAsia="en-AU"/>
              </w:rPr>
              <w:t>20-50</w:t>
            </w:r>
          </w:p>
        </w:tc>
      </w:tr>
    </w:tbl>
    <w:p w14:paraId="5CFD01C9" w14:textId="77777777" w:rsidR="008C6588" w:rsidRDefault="003B6DA6" w:rsidP="008F2638">
      <w:pPr>
        <w:pStyle w:val="Heading2"/>
      </w:pPr>
      <w:r w:rsidRPr="008F2638">
        <w:t>M</w:t>
      </w:r>
      <w:r w:rsidR="008C6588" w:rsidRPr="008F2638">
        <w:t>ethod</w:t>
      </w:r>
    </w:p>
    <w:p w14:paraId="713A5B67" w14:textId="77777777" w:rsidR="00543C4C" w:rsidRDefault="00543C4C" w:rsidP="00543C4C">
      <w:r>
        <w:t xml:space="preserve">Three </w:t>
      </w:r>
      <w:r w:rsidR="002911AF">
        <w:t>break</w:t>
      </w:r>
      <w:r w:rsidR="00A43BF6">
        <w:t>-</w:t>
      </w:r>
      <w:r w:rsidR="002911AF">
        <w:t>crop</w:t>
      </w:r>
      <w:r>
        <w:t xml:space="preserve"> trials were established in paddocks on grower properties at Calingiri, Grass Valley and Dumbleyung, where RLN and </w:t>
      </w:r>
      <w:r w:rsidRPr="005C078E">
        <w:rPr>
          <w:i/>
        </w:rPr>
        <w:t xml:space="preserve">R. </w:t>
      </w:r>
      <w:proofErr w:type="spellStart"/>
      <w:r w:rsidRPr="005C078E">
        <w:rPr>
          <w:i/>
        </w:rPr>
        <w:t>solani</w:t>
      </w:r>
      <w:proofErr w:type="spellEnd"/>
      <w:r>
        <w:rPr>
          <w:i/>
        </w:rPr>
        <w:t xml:space="preserve"> </w:t>
      </w:r>
      <w:r>
        <w:t>were both present</w:t>
      </w:r>
      <w:r w:rsidR="0042799E">
        <w:t xml:space="preserve"> at </w:t>
      </w:r>
      <w:r w:rsidR="00A43BF6">
        <w:t xml:space="preserve">levels impacting </w:t>
      </w:r>
      <w:r w:rsidR="0042799E">
        <w:t>yield</w:t>
      </w:r>
      <w:r>
        <w:t xml:space="preserve">. The </w:t>
      </w:r>
      <w:r w:rsidR="002911AF">
        <w:t>break</w:t>
      </w:r>
      <w:r w:rsidR="00A43BF6">
        <w:t>-</w:t>
      </w:r>
      <w:r w:rsidR="002911AF">
        <w:t>crop</w:t>
      </w:r>
      <w:r>
        <w:t xml:space="preserve"> phase was sown in 2018 at Dumbleyung and Grass Valley and the cereal phase was sown in 2019. </w:t>
      </w:r>
      <w:r w:rsidR="00A43BF6">
        <w:t xml:space="preserve">At Calingiri </w:t>
      </w:r>
      <w:r>
        <w:t xml:space="preserve">the </w:t>
      </w:r>
      <w:r w:rsidR="002911AF">
        <w:t>break</w:t>
      </w:r>
      <w:r w:rsidR="00A43BF6">
        <w:t>-</w:t>
      </w:r>
      <w:r w:rsidR="002911AF">
        <w:t>crop</w:t>
      </w:r>
      <w:r>
        <w:t xml:space="preserve"> phase was sown </w:t>
      </w:r>
      <w:r w:rsidR="00A43BF6">
        <w:t xml:space="preserve">in 2019. </w:t>
      </w:r>
    </w:p>
    <w:p w14:paraId="66D16106" w14:textId="77777777" w:rsidR="00F47597" w:rsidRDefault="004A227B" w:rsidP="004151BA">
      <w:pPr>
        <w:spacing w:after="160"/>
      </w:pPr>
      <w:r>
        <w:t xml:space="preserve">The </w:t>
      </w:r>
      <w:r w:rsidR="000E4977">
        <w:t xml:space="preserve">crop </w:t>
      </w:r>
      <w:r>
        <w:t xml:space="preserve">rotation </w:t>
      </w:r>
      <w:r w:rsidR="00A43BF6">
        <w:t>trials</w:t>
      </w:r>
      <w:r w:rsidR="00F47597">
        <w:t xml:space="preserve"> were implemented using </w:t>
      </w:r>
      <w:r w:rsidR="002911AF">
        <w:t>break crop</w:t>
      </w:r>
      <w:r w:rsidR="00F47597">
        <w:t xml:space="preserve"> options </w:t>
      </w:r>
      <w:r w:rsidR="00D16DE2">
        <w:t>agronomically</w:t>
      </w:r>
      <w:r w:rsidR="00F47597">
        <w:t xml:space="preserve"> suitable </w:t>
      </w:r>
      <w:r w:rsidR="00543C4C">
        <w:t xml:space="preserve">for </w:t>
      </w:r>
      <w:r w:rsidR="00F47597">
        <w:t>the</w:t>
      </w:r>
      <w:r w:rsidR="00A43BF6">
        <w:t xml:space="preserve"> Calingiri, Grass Valley and Dumbleyung</w:t>
      </w:r>
      <w:r w:rsidR="00F47597">
        <w:t xml:space="preserve"> regions</w:t>
      </w:r>
      <w:r w:rsidR="0042799E">
        <w:t xml:space="preserve"> (Table 2).</w:t>
      </w:r>
      <w:r w:rsidR="00F47597">
        <w:t xml:space="preserve"> The trial in Dumbleyung </w:t>
      </w:r>
      <w:r w:rsidR="00440614">
        <w:t>was a</w:t>
      </w:r>
      <w:r w:rsidR="00F47597">
        <w:t xml:space="preserve"> </w:t>
      </w:r>
      <w:r w:rsidR="00D16DE2">
        <w:t>randomised block design</w:t>
      </w:r>
      <w:r w:rsidR="00440614">
        <w:t xml:space="preserve"> with</w:t>
      </w:r>
      <w:r w:rsidR="00440614" w:rsidRPr="00440614">
        <w:t xml:space="preserve"> </w:t>
      </w:r>
      <w:r w:rsidR="00440614">
        <w:t>four replicates</w:t>
      </w:r>
      <w:r w:rsidR="00F47597">
        <w:t>. In Grass Valley</w:t>
      </w:r>
      <w:r>
        <w:t xml:space="preserve"> and Calingiri</w:t>
      </w:r>
      <w:r w:rsidR="00F47597">
        <w:t>, there were six replicate</w:t>
      </w:r>
      <w:r w:rsidR="00D16DE2">
        <w:t>s</w:t>
      </w:r>
      <w:r w:rsidR="00F47597">
        <w:t xml:space="preserve"> for each treatment </w:t>
      </w:r>
      <w:r w:rsidR="00440614">
        <w:t>and for weed control purposes, treatments</w:t>
      </w:r>
      <w:r w:rsidR="00F47597">
        <w:t xml:space="preserve"> were </w:t>
      </w:r>
      <w:r w:rsidR="00440614">
        <w:t xml:space="preserve">grouped </w:t>
      </w:r>
      <w:r w:rsidR="00440614">
        <w:lastRenderedPageBreak/>
        <w:t>into blocks of</w:t>
      </w:r>
      <w:r w:rsidR="00F47597">
        <w:t xml:space="preserve"> broad leaf </w:t>
      </w:r>
      <w:r w:rsidR="00440614">
        <w:t xml:space="preserve">or </w:t>
      </w:r>
      <w:r w:rsidR="00F47597">
        <w:t>cereal</w:t>
      </w:r>
      <w:r w:rsidR="00440614">
        <w:t>s</w:t>
      </w:r>
      <w:r w:rsidR="00F47597">
        <w:t xml:space="preserve"> </w:t>
      </w:r>
      <w:r w:rsidR="00A43BF6">
        <w:t xml:space="preserve">with </w:t>
      </w:r>
      <w:r w:rsidR="00F47597">
        <w:t>a fallow plot (repeated herbicide applications) included in each block.</w:t>
      </w:r>
      <w:r w:rsidR="007A413B">
        <w:t xml:space="preserve"> </w:t>
      </w:r>
      <w:r w:rsidR="00F47597">
        <w:t>Nitrogen fertilisers were only applied to the cereals and the canola. In 2019</w:t>
      </w:r>
      <w:r w:rsidR="00CF2DE0">
        <w:t>,</w:t>
      </w:r>
      <w:r w:rsidR="00F47597">
        <w:t xml:space="preserve"> the </w:t>
      </w:r>
      <w:r>
        <w:t xml:space="preserve">Dumbleyung and Grass Valley </w:t>
      </w:r>
      <w:r w:rsidR="00F47597">
        <w:t>trial sites were over</w:t>
      </w:r>
      <w:r w:rsidR="00A43BF6">
        <w:t>-</w:t>
      </w:r>
      <w:r w:rsidR="00F47597">
        <w:t xml:space="preserve">sown with </w:t>
      </w:r>
      <w:r w:rsidR="00F47597" w:rsidRPr="005E4842">
        <w:t xml:space="preserve">wheat </w:t>
      </w:r>
      <w:r w:rsidR="00DF2AC4" w:rsidRPr="005E4842">
        <w:t xml:space="preserve">varieties </w:t>
      </w:r>
      <w:r w:rsidR="00B6756A">
        <w:t xml:space="preserve">known to be susceptible </w:t>
      </w:r>
      <w:r w:rsidR="00DF2AC4" w:rsidRPr="005E4842">
        <w:t>to RLN</w:t>
      </w:r>
      <w:r w:rsidR="00DF2AC4">
        <w:t xml:space="preserve"> </w:t>
      </w:r>
      <w:r w:rsidR="00F47597">
        <w:t>(</w:t>
      </w:r>
      <w:r w:rsidR="00894A02">
        <w:t>Chief CL</w:t>
      </w:r>
      <w:r w:rsidR="00CF2DE0">
        <w:t xml:space="preserve"> at </w:t>
      </w:r>
      <w:r w:rsidR="00894A02">
        <w:t>Grass Valley</w:t>
      </w:r>
      <w:r w:rsidR="00CF2DE0">
        <w:t xml:space="preserve"> and </w:t>
      </w:r>
      <w:proofErr w:type="spellStart"/>
      <w:r w:rsidR="00894A02">
        <w:t>Scepter</w:t>
      </w:r>
      <w:proofErr w:type="spellEnd"/>
      <w:r w:rsidR="00CF2DE0">
        <w:t xml:space="preserve"> at </w:t>
      </w:r>
      <w:r w:rsidR="00894A02">
        <w:t>Dumbleyung</w:t>
      </w:r>
      <w:r w:rsidR="00F47597">
        <w:t>).</w:t>
      </w:r>
      <w:r w:rsidR="007A413B">
        <w:t xml:space="preserve"> </w:t>
      </w:r>
      <w:r w:rsidR="003858CB">
        <w:t>T</w:t>
      </w:r>
      <w:r w:rsidR="00543C4C">
        <w:t>otal nitrogen</w:t>
      </w:r>
      <w:r w:rsidR="00440614">
        <w:t xml:space="preserve"> </w:t>
      </w:r>
      <w:r w:rsidR="00F26832">
        <w:t xml:space="preserve">applied </w:t>
      </w:r>
      <w:r w:rsidR="00440614">
        <w:t>to wheat</w:t>
      </w:r>
      <w:r w:rsidR="00F26832">
        <w:t xml:space="preserve"> </w:t>
      </w:r>
      <w:r w:rsidR="003858CB">
        <w:t xml:space="preserve">at Grass Valley </w:t>
      </w:r>
      <w:r w:rsidR="00543C4C">
        <w:t>was</w:t>
      </w:r>
      <w:r w:rsidR="00F26832">
        <w:t xml:space="preserve"> </w:t>
      </w:r>
      <w:r w:rsidR="00190325">
        <w:t>95</w:t>
      </w:r>
      <w:r w:rsidR="00F26832">
        <w:t xml:space="preserve"> </w:t>
      </w:r>
      <w:proofErr w:type="spellStart"/>
      <w:r w:rsidR="008407B1">
        <w:t>kgN</w:t>
      </w:r>
      <w:proofErr w:type="spellEnd"/>
      <w:r w:rsidR="00714D3B">
        <w:t xml:space="preserve">/ha </w:t>
      </w:r>
      <w:r w:rsidR="00F26832">
        <w:t>and at Dumbleyung</w:t>
      </w:r>
      <w:r w:rsidR="00A76DB1">
        <w:t>,</w:t>
      </w:r>
      <w:r w:rsidR="00F26832">
        <w:t xml:space="preserve"> </w:t>
      </w:r>
      <w:r w:rsidR="00EB22F1">
        <w:t>65</w:t>
      </w:r>
      <w:r w:rsidR="00F26832">
        <w:t xml:space="preserve"> </w:t>
      </w:r>
      <w:proofErr w:type="spellStart"/>
      <w:r w:rsidR="008407B1">
        <w:t>kgN</w:t>
      </w:r>
      <w:proofErr w:type="spellEnd"/>
      <w:r w:rsidR="00714D3B">
        <w:t>/ha</w:t>
      </w:r>
      <w:r w:rsidR="00F26832">
        <w:t>.</w:t>
      </w:r>
      <w:r w:rsidR="00543C4C">
        <w:t xml:space="preserve"> </w:t>
      </w:r>
    </w:p>
    <w:p w14:paraId="0983FE85" w14:textId="77777777" w:rsidR="00440614" w:rsidRPr="00171600" w:rsidRDefault="00440614" w:rsidP="0042799E">
      <w:pPr>
        <w:spacing w:after="0" w:line="240" w:lineRule="auto"/>
        <w:rPr>
          <w:b/>
          <w:sz w:val="22"/>
        </w:rPr>
      </w:pPr>
      <w:r w:rsidRPr="00171600">
        <w:rPr>
          <w:b/>
          <w:sz w:val="22"/>
          <w:lang w:eastAsia="en-AU"/>
        </w:rPr>
        <w:t xml:space="preserve">Table 2. </w:t>
      </w:r>
      <w:r w:rsidR="00A43BF6">
        <w:rPr>
          <w:b/>
          <w:sz w:val="22"/>
          <w:lang w:eastAsia="en-AU"/>
        </w:rPr>
        <w:t>B</w:t>
      </w:r>
      <w:r w:rsidR="007A413B" w:rsidRPr="00171600">
        <w:rPr>
          <w:b/>
          <w:sz w:val="22"/>
          <w:lang w:eastAsia="en-AU"/>
        </w:rPr>
        <w:t>reak</w:t>
      </w:r>
      <w:r w:rsidR="00351C84">
        <w:rPr>
          <w:b/>
          <w:sz w:val="22"/>
          <w:lang w:eastAsia="en-AU"/>
        </w:rPr>
        <w:t>-</w:t>
      </w:r>
      <w:r w:rsidR="007A413B" w:rsidRPr="00171600">
        <w:rPr>
          <w:b/>
          <w:sz w:val="22"/>
          <w:lang w:eastAsia="en-AU"/>
        </w:rPr>
        <w:t xml:space="preserve">crop </w:t>
      </w:r>
      <w:r w:rsidRPr="00171600">
        <w:rPr>
          <w:b/>
          <w:sz w:val="22"/>
          <w:lang w:eastAsia="en-AU"/>
        </w:rPr>
        <w:t xml:space="preserve">treatments (crop type and variety) sown at each site in </w:t>
      </w:r>
      <w:r w:rsidR="00A43BF6">
        <w:rPr>
          <w:b/>
          <w:sz w:val="22"/>
          <w:lang w:eastAsia="en-AU"/>
        </w:rPr>
        <w:t>2018 and 2019</w:t>
      </w:r>
      <w:r w:rsidRPr="00171600">
        <w:rPr>
          <w:b/>
          <w:sz w:val="22"/>
          <w:lang w:eastAsia="en-AU"/>
        </w:rPr>
        <w:t>.</w:t>
      </w:r>
    </w:p>
    <w:tbl>
      <w:tblPr>
        <w:tblW w:w="7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015"/>
        <w:gridCol w:w="2104"/>
        <w:gridCol w:w="164"/>
        <w:gridCol w:w="13"/>
        <w:gridCol w:w="1774"/>
        <w:gridCol w:w="76"/>
      </w:tblGrid>
      <w:tr w:rsidR="003F168A" w:rsidRPr="003F168A" w14:paraId="00C018C4" w14:textId="77777777" w:rsidTr="003F168A">
        <w:trPr>
          <w:trHeight w:val="238"/>
        </w:trPr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7F7E7" w14:textId="77777777" w:rsidR="003F168A" w:rsidRPr="003F168A" w:rsidRDefault="003F168A">
            <w:pPr>
              <w:jc w:val="center"/>
              <w:rPr>
                <w:rFonts w:cs="Arial"/>
                <w:i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i/>
                <w:color w:val="auto"/>
                <w:szCs w:val="20"/>
                <w:lang w:eastAsia="en-AU"/>
              </w:rPr>
              <w:t>Year</w:t>
            </w:r>
          </w:p>
        </w:tc>
        <w:tc>
          <w:tcPr>
            <w:tcW w:w="429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E2C9D" w14:textId="77777777" w:rsidR="003F168A" w:rsidRPr="003F168A" w:rsidRDefault="003F168A">
            <w:pPr>
              <w:jc w:val="center"/>
              <w:rPr>
                <w:rFonts w:cs="Arial"/>
                <w:i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i/>
                <w:color w:val="auto"/>
                <w:szCs w:val="20"/>
                <w:lang w:eastAsia="en-AU"/>
              </w:rPr>
              <w:t>2018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258C1" w14:textId="77777777" w:rsidR="003F168A" w:rsidRPr="003F168A" w:rsidRDefault="003F168A">
            <w:pPr>
              <w:jc w:val="center"/>
              <w:rPr>
                <w:rFonts w:cs="Arial"/>
                <w:i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i/>
                <w:color w:val="auto"/>
                <w:szCs w:val="20"/>
                <w:lang w:eastAsia="en-AU"/>
              </w:rPr>
              <w:t>2019</w:t>
            </w:r>
          </w:p>
        </w:tc>
        <w:tc>
          <w:tcPr>
            <w:tcW w:w="76" w:type="dxa"/>
            <w:vAlign w:val="center"/>
            <w:hideMark/>
          </w:tcPr>
          <w:p w14:paraId="1F93B629" w14:textId="77777777" w:rsidR="003F168A" w:rsidRPr="003F168A" w:rsidRDefault="003F168A">
            <w:pPr>
              <w:rPr>
                <w:rFonts w:cs="Arial"/>
                <w:color w:val="auto"/>
                <w:szCs w:val="20"/>
              </w:rPr>
            </w:pPr>
            <w:r w:rsidRPr="003F168A">
              <w:rPr>
                <w:rFonts w:cs="Arial"/>
                <w:color w:val="auto"/>
                <w:szCs w:val="20"/>
              </w:rPr>
              <w:t> </w:t>
            </w:r>
          </w:p>
        </w:tc>
      </w:tr>
      <w:tr w:rsidR="003F168A" w:rsidRPr="003F168A" w14:paraId="10EABD72" w14:textId="77777777" w:rsidTr="003F168A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2D0D2" w14:textId="77777777" w:rsidR="003F168A" w:rsidRPr="003F168A" w:rsidRDefault="003F168A">
            <w:pPr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Crop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1FC48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Dumbleyung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81BFD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Grass Valley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69DD7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Calingiri</w:t>
            </w:r>
          </w:p>
        </w:tc>
        <w:tc>
          <w:tcPr>
            <w:tcW w:w="76" w:type="dxa"/>
            <w:vAlign w:val="center"/>
            <w:hideMark/>
          </w:tcPr>
          <w:p w14:paraId="53020E48" w14:textId="77777777" w:rsidR="003F168A" w:rsidRPr="003F168A" w:rsidRDefault="003F168A">
            <w:pPr>
              <w:rPr>
                <w:rFonts w:cs="Arial"/>
                <w:color w:val="auto"/>
                <w:szCs w:val="20"/>
              </w:rPr>
            </w:pPr>
            <w:r w:rsidRPr="003F168A">
              <w:rPr>
                <w:rFonts w:cs="Arial"/>
                <w:color w:val="auto"/>
                <w:szCs w:val="20"/>
              </w:rPr>
              <w:t> </w:t>
            </w:r>
          </w:p>
        </w:tc>
      </w:tr>
      <w:tr w:rsidR="003F168A" w:rsidRPr="003F168A" w14:paraId="59A0BD08" w14:textId="77777777" w:rsidTr="003F168A">
        <w:trPr>
          <w:trHeight w:val="238"/>
        </w:trPr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2775D" w14:textId="77777777" w:rsidR="003F168A" w:rsidRPr="003F168A" w:rsidRDefault="003F168A">
            <w:pPr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canola</w:t>
            </w: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9E00E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ATR Bonito</w:t>
            </w:r>
            <w:r w:rsidRPr="003F168A">
              <w:rPr>
                <w:rFonts w:cs="Arial"/>
                <w:noProof/>
                <w:color w:val="auto"/>
                <w:szCs w:val="20"/>
                <w:lang w:eastAsia="en-AU"/>
              </w:rPr>
              <w:drawing>
                <wp:inline distT="0" distB="0" distL="0" distR="0" wp14:anchorId="63E89CDE" wp14:editId="6DD6CE9B">
                  <wp:extent cx="99060" cy="121920"/>
                  <wp:effectExtent l="0" t="0" r="0" b="0"/>
                  <wp:docPr id="23" name="Picture 23" descr="PB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57EE8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ATR Stingray</w:t>
            </w:r>
            <w:r w:rsidRPr="003F168A">
              <w:rPr>
                <w:rFonts w:cs="Arial"/>
                <w:noProof/>
                <w:color w:val="auto"/>
                <w:szCs w:val="20"/>
                <w:lang w:eastAsia="en-AU"/>
              </w:rPr>
              <w:drawing>
                <wp:inline distT="0" distB="0" distL="0" distR="0" wp14:anchorId="64C107F8" wp14:editId="5C5B9214">
                  <wp:extent cx="99060" cy="121920"/>
                  <wp:effectExtent l="0" t="0" r="0" b="0"/>
                  <wp:docPr id="22" name="Picture 22" descr="PB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B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27401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ATR Stingray</w:t>
            </w:r>
            <w:r w:rsidRPr="003F168A">
              <w:rPr>
                <w:rFonts w:cs="Arial"/>
                <w:noProof/>
                <w:color w:val="auto"/>
                <w:szCs w:val="20"/>
                <w:lang w:eastAsia="en-AU"/>
              </w:rPr>
              <w:drawing>
                <wp:inline distT="0" distB="0" distL="0" distR="0" wp14:anchorId="3FFFF311" wp14:editId="591C98EF">
                  <wp:extent cx="99060" cy="121920"/>
                  <wp:effectExtent l="0" t="0" r="0" b="0"/>
                  <wp:docPr id="21" name="Picture 21" descr="PB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B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" w:type="dxa"/>
            <w:vAlign w:val="center"/>
            <w:hideMark/>
          </w:tcPr>
          <w:p w14:paraId="13F92F85" w14:textId="77777777" w:rsidR="003F168A" w:rsidRPr="003F168A" w:rsidRDefault="003F168A">
            <w:pPr>
              <w:rPr>
                <w:rFonts w:cs="Arial"/>
                <w:color w:val="auto"/>
                <w:szCs w:val="20"/>
              </w:rPr>
            </w:pPr>
            <w:r w:rsidRPr="003F168A">
              <w:rPr>
                <w:rFonts w:cs="Arial"/>
                <w:color w:val="auto"/>
                <w:szCs w:val="20"/>
              </w:rPr>
              <w:t> </w:t>
            </w:r>
          </w:p>
        </w:tc>
      </w:tr>
      <w:tr w:rsidR="003F168A" w:rsidRPr="003F168A" w14:paraId="13CB3110" w14:textId="77777777" w:rsidTr="003F168A">
        <w:trPr>
          <w:trHeight w:val="238"/>
        </w:trPr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0D332" w14:textId="77777777" w:rsidR="003F168A" w:rsidRPr="003F168A" w:rsidRDefault="003F168A">
            <w:pPr>
              <w:rPr>
                <w:rFonts w:cs="Arial"/>
                <w:color w:val="auto"/>
                <w:szCs w:val="20"/>
                <w:lang w:eastAsia="en-AU"/>
              </w:rPr>
            </w:pPr>
            <w:proofErr w:type="spellStart"/>
            <w:r w:rsidRPr="003F168A">
              <w:rPr>
                <w:rFonts w:cs="Arial"/>
                <w:color w:val="auto"/>
                <w:szCs w:val="20"/>
                <w:lang w:eastAsia="en-AU"/>
              </w:rPr>
              <w:t>faba</w:t>
            </w:r>
            <w:proofErr w:type="spellEnd"/>
            <w:r w:rsidRPr="003F168A">
              <w:rPr>
                <w:rFonts w:cs="Arial"/>
                <w:color w:val="auto"/>
                <w:szCs w:val="20"/>
                <w:lang w:eastAsia="en-AU"/>
              </w:rPr>
              <w:t xml:space="preserve"> bean</w:t>
            </w: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2DF3C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PBA Samira</w:t>
            </w:r>
            <w:r w:rsidRPr="003F168A">
              <w:rPr>
                <w:rFonts w:cs="Arial"/>
                <w:noProof/>
                <w:color w:val="auto"/>
                <w:szCs w:val="20"/>
                <w:lang w:eastAsia="en-AU"/>
              </w:rPr>
              <w:drawing>
                <wp:inline distT="0" distB="0" distL="0" distR="0" wp14:anchorId="3923E6C9" wp14:editId="31597E51">
                  <wp:extent cx="99060" cy="121920"/>
                  <wp:effectExtent l="0" t="0" r="0" b="0"/>
                  <wp:docPr id="20" name="Picture 20" descr="PB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B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AD1DF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-</w:t>
            </w:r>
          </w:p>
        </w:tc>
        <w:tc>
          <w:tcPr>
            <w:tcW w:w="195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22004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-</w:t>
            </w:r>
          </w:p>
        </w:tc>
        <w:tc>
          <w:tcPr>
            <w:tcW w:w="76" w:type="dxa"/>
            <w:vAlign w:val="center"/>
            <w:hideMark/>
          </w:tcPr>
          <w:p w14:paraId="64D328A5" w14:textId="77777777" w:rsidR="003F168A" w:rsidRPr="003F168A" w:rsidRDefault="003F168A">
            <w:pPr>
              <w:rPr>
                <w:rFonts w:cs="Arial"/>
                <w:color w:val="auto"/>
                <w:szCs w:val="20"/>
              </w:rPr>
            </w:pPr>
            <w:r w:rsidRPr="003F168A">
              <w:rPr>
                <w:rFonts w:cs="Arial"/>
                <w:color w:val="auto"/>
                <w:szCs w:val="20"/>
              </w:rPr>
              <w:t> </w:t>
            </w:r>
          </w:p>
        </w:tc>
      </w:tr>
      <w:tr w:rsidR="003F168A" w:rsidRPr="003F168A" w14:paraId="7E74BAEB" w14:textId="77777777" w:rsidTr="003F168A">
        <w:trPr>
          <w:trHeight w:val="238"/>
        </w:trPr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5F499" w14:textId="77777777" w:rsidR="003F168A" w:rsidRPr="003F168A" w:rsidRDefault="003F168A">
            <w:pPr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lupin</w:t>
            </w: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57DDA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PBA Jurien</w:t>
            </w:r>
            <w:r w:rsidRPr="003F168A">
              <w:rPr>
                <w:rFonts w:cs="Arial"/>
                <w:noProof/>
                <w:color w:val="auto"/>
                <w:szCs w:val="20"/>
                <w:lang w:eastAsia="en-AU"/>
              </w:rPr>
              <w:drawing>
                <wp:inline distT="0" distB="0" distL="0" distR="0" wp14:anchorId="514FC656" wp14:editId="7C78B412">
                  <wp:extent cx="99060" cy="121920"/>
                  <wp:effectExtent l="0" t="0" r="0" b="0"/>
                  <wp:docPr id="19" name="Picture 19" descr="PB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B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A002A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proofErr w:type="spellStart"/>
            <w:r w:rsidRPr="003F168A">
              <w:rPr>
                <w:rFonts w:cs="Arial"/>
                <w:color w:val="auto"/>
                <w:szCs w:val="20"/>
                <w:lang w:eastAsia="en-AU"/>
              </w:rPr>
              <w:t>Mandellup</w:t>
            </w:r>
            <w:proofErr w:type="spellEnd"/>
          </w:p>
        </w:tc>
        <w:tc>
          <w:tcPr>
            <w:tcW w:w="195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541A4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proofErr w:type="spellStart"/>
            <w:r w:rsidRPr="003F168A">
              <w:rPr>
                <w:rFonts w:cs="Arial"/>
                <w:color w:val="auto"/>
                <w:szCs w:val="20"/>
                <w:lang w:eastAsia="en-AU"/>
              </w:rPr>
              <w:t>Mandellup</w:t>
            </w:r>
            <w:proofErr w:type="spellEnd"/>
          </w:p>
        </w:tc>
        <w:tc>
          <w:tcPr>
            <w:tcW w:w="76" w:type="dxa"/>
            <w:vAlign w:val="center"/>
            <w:hideMark/>
          </w:tcPr>
          <w:p w14:paraId="4274307B" w14:textId="77777777" w:rsidR="003F168A" w:rsidRPr="003F168A" w:rsidRDefault="003F168A">
            <w:pPr>
              <w:rPr>
                <w:rFonts w:cs="Arial"/>
                <w:color w:val="auto"/>
                <w:szCs w:val="20"/>
              </w:rPr>
            </w:pPr>
            <w:r w:rsidRPr="003F168A">
              <w:rPr>
                <w:rFonts w:cs="Arial"/>
                <w:color w:val="auto"/>
                <w:szCs w:val="20"/>
              </w:rPr>
              <w:t> </w:t>
            </w:r>
          </w:p>
        </w:tc>
      </w:tr>
      <w:tr w:rsidR="003F168A" w:rsidRPr="003F168A" w14:paraId="709DA102" w14:textId="77777777" w:rsidTr="003F168A">
        <w:trPr>
          <w:trHeight w:val="238"/>
        </w:trPr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3BA36" w14:textId="77777777" w:rsidR="003F168A" w:rsidRPr="003F168A" w:rsidRDefault="003F168A">
            <w:pPr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serradella</w:t>
            </w: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B98BC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Cadiz</w:t>
            </w:r>
            <w:r w:rsidRPr="003F168A">
              <w:rPr>
                <w:rFonts w:cs="Arial"/>
                <w:noProof/>
                <w:color w:val="auto"/>
                <w:szCs w:val="20"/>
                <w:lang w:eastAsia="en-AU"/>
              </w:rPr>
              <w:drawing>
                <wp:inline distT="0" distB="0" distL="0" distR="0" wp14:anchorId="3DA106C8" wp14:editId="658E0464">
                  <wp:extent cx="99060" cy="121920"/>
                  <wp:effectExtent l="0" t="0" r="0" b="0"/>
                  <wp:docPr id="18" name="Picture 18" descr="PB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B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F4C72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Eliza</w:t>
            </w:r>
          </w:p>
        </w:tc>
        <w:tc>
          <w:tcPr>
            <w:tcW w:w="195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49DAF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Eliza</w:t>
            </w:r>
          </w:p>
        </w:tc>
        <w:tc>
          <w:tcPr>
            <w:tcW w:w="76" w:type="dxa"/>
            <w:vAlign w:val="center"/>
            <w:hideMark/>
          </w:tcPr>
          <w:p w14:paraId="2B622E79" w14:textId="77777777" w:rsidR="003F168A" w:rsidRPr="003F168A" w:rsidRDefault="003F168A">
            <w:pPr>
              <w:rPr>
                <w:rFonts w:cs="Arial"/>
                <w:color w:val="auto"/>
                <w:szCs w:val="20"/>
              </w:rPr>
            </w:pPr>
            <w:r w:rsidRPr="003F168A">
              <w:rPr>
                <w:rFonts w:cs="Arial"/>
                <w:color w:val="auto"/>
                <w:szCs w:val="20"/>
              </w:rPr>
              <w:t> </w:t>
            </w:r>
          </w:p>
        </w:tc>
      </w:tr>
      <w:tr w:rsidR="003F168A" w:rsidRPr="003F168A" w14:paraId="15C7912E" w14:textId="77777777" w:rsidTr="003F168A">
        <w:trPr>
          <w:trHeight w:val="238"/>
        </w:trPr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6CDBF" w14:textId="77777777" w:rsidR="003F168A" w:rsidRPr="003F168A" w:rsidRDefault="003F168A">
            <w:pPr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chickpea</w:t>
            </w: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01AB0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-</w:t>
            </w:r>
          </w:p>
        </w:tc>
        <w:tc>
          <w:tcPr>
            <w:tcW w:w="2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CA6E7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PBA Striker</w:t>
            </w:r>
            <w:r w:rsidRPr="003F168A">
              <w:rPr>
                <w:rFonts w:cs="Arial"/>
                <w:noProof/>
                <w:color w:val="auto"/>
                <w:szCs w:val="20"/>
                <w:lang w:eastAsia="en-AU"/>
              </w:rPr>
              <w:drawing>
                <wp:inline distT="0" distB="0" distL="0" distR="0" wp14:anchorId="144B5316" wp14:editId="28BF35E8">
                  <wp:extent cx="99060" cy="121920"/>
                  <wp:effectExtent l="0" t="0" r="0" b="0"/>
                  <wp:docPr id="17" name="Picture 17" descr="PB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B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BEB5F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PBA Striker</w:t>
            </w:r>
            <w:r w:rsidRPr="003F168A">
              <w:rPr>
                <w:rFonts w:cs="Arial"/>
                <w:noProof/>
                <w:color w:val="auto"/>
                <w:szCs w:val="20"/>
                <w:lang w:eastAsia="en-AU"/>
              </w:rPr>
              <w:drawing>
                <wp:inline distT="0" distB="0" distL="0" distR="0" wp14:anchorId="4A83C0A0" wp14:editId="3B818E92">
                  <wp:extent cx="99060" cy="121920"/>
                  <wp:effectExtent l="0" t="0" r="0" b="0"/>
                  <wp:docPr id="16" name="Picture 16" descr="PB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B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" w:type="dxa"/>
            <w:vAlign w:val="center"/>
            <w:hideMark/>
          </w:tcPr>
          <w:p w14:paraId="3FB1744D" w14:textId="77777777" w:rsidR="003F168A" w:rsidRPr="003F168A" w:rsidRDefault="003F168A">
            <w:pPr>
              <w:rPr>
                <w:rFonts w:cs="Arial"/>
                <w:color w:val="auto"/>
                <w:szCs w:val="20"/>
              </w:rPr>
            </w:pPr>
            <w:r w:rsidRPr="003F168A">
              <w:rPr>
                <w:rFonts w:cs="Arial"/>
                <w:color w:val="auto"/>
                <w:szCs w:val="20"/>
              </w:rPr>
              <w:t> </w:t>
            </w:r>
          </w:p>
        </w:tc>
      </w:tr>
      <w:tr w:rsidR="003F168A" w:rsidRPr="003F168A" w14:paraId="412368A0" w14:textId="77777777" w:rsidTr="003F168A">
        <w:trPr>
          <w:trHeight w:val="238"/>
        </w:trPr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95812" w14:textId="77777777" w:rsidR="003F168A" w:rsidRPr="003F168A" w:rsidRDefault="003F168A">
            <w:pPr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sub-clover</w:t>
            </w: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47384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-</w:t>
            </w:r>
          </w:p>
        </w:tc>
        <w:tc>
          <w:tcPr>
            <w:tcW w:w="2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08C01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Dalkeith</w:t>
            </w:r>
          </w:p>
        </w:tc>
        <w:tc>
          <w:tcPr>
            <w:tcW w:w="195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808B6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Dalkeith</w:t>
            </w:r>
          </w:p>
        </w:tc>
        <w:tc>
          <w:tcPr>
            <w:tcW w:w="76" w:type="dxa"/>
            <w:vAlign w:val="center"/>
            <w:hideMark/>
          </w:tcPr>
          <w:p w14:paraId="0822FBD2" w14:textId="77777777" w:rsidR="003F168A" w:rsidRPr="003F168A" w:rsidRDefault="003F168A">
            <w:pPr>
              <w:rPr>
                <w:rFonts w:cs="Arial"/>
                <w:color w:val="auto"/>
                <w:szCs w:val="20"/>
              </w:rPr>
            </w:pPr>
            <w:r w:rsidRPr="003F168A">
              <w:rPr>
                <w:rFonts w:cs="Arial"/>
                <w:color w:val="auto"/>
                <w:szCs w:val="20"/>
              </w:rPr>
              <w:t> </w:t>
            </w:r>
          </w:p>
        </w:tc>
      </w:tr>
      <w:tr w:rsidR="003F168A" w:rsidRPr="003F168A" w14:paraId="0BD9020A" w14:textId="77777777" w:rsidTr="003F168A">
        <w:trPr>
          <w:trHeight w:val="238"/>
        </w:trPr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1AAF4" w14:textId="77777777" w:rsidR="003F168A" w:rsidRPr="003F168A" w:rsidRDefault="003F168A">
            <w:pPr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wheat</w:t>
            </w: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80A89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-</w:t>
            </w:r>
          </w:p>
        </w:tc>
        <w:tc>
          <w:tcPr>
            <w:tcW w:w="2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916F1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Calingiri, Mace</w:t>
            </w:r>
            <w:r w:rsidRPr="003F168A">
              <w:rPr>
                <w:rFonts w:cs="Arial"/>
                <w:noProof/>
                <w:color w:val="auto"/>
                <w:szCs w:val="20"/>
                <w:lang w:eastAsia="en-AU"/>
              </w:rPr>
              <w:drawing>
                <wp:inline distT="0" distB="0" distL="0" distR="0" wp14:anchorId="744745B6" wp14:editId="6D4A4CAD">
                  <wp:extent cx="99060" cy="121920"/>
                  <wp:effectExtent l="0" t="0" r="0" b="0"/>
                  <wp:docPr id="15" name="Picture 15" descr="PB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B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1E7FA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Calingiri</w:t>
            </w:r>
          </w:p>
        </w:tc>
        <w:tc>
          <w:tcPr>
            <w:tcW w:w="76" w:type="dxa"/>
            <w:vAlign w:val="center"/>
            <w:hideMark/>
          </w:tcPr>
          <w:p w14:paraId="68DD4626" w14:textId="77777777" w:rsidR="003F168A" w:rsidRPr="003F168A" w:rsidRDefault="003F168A">
            <w:pPr>
              <w:rPr>
                <w:rFonts w:cs="Arial"/>
                <w:color w:val="auto"/>
                <w:szCs w:val="20"/>
              </w:rPr>
            </w:pPr>
            <w:r w:rsidRPr="003F168A">
              <w:rPr>
                <w:rFonts w:cs="Arial"/>
                <w:color w:val="auto"/>
                <w:szCs w:val="20"/>
              </w:rPr>
              <w:t> </w:t>
            </w:r>
          </w:p>
        </w:tc>
      </w:tr>
      <w:tr w:rsidR="003F168A" w:rsidRPr="003F168A" w14:paraId="26A68ACF" w14:textId="77777777" w:rsidTr="003F168A">
        <w:trPr>
          <w:trHeight w:val="238"/>
        </w:trPr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FF222" w14:textId="77777777" w:rsidR="003F168A" w:rsidRPr="003F168A" w:rsidRDefault="003F168A">
            <w:pPr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barley</w:t>
            </w: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8B42F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-</w:t>
            </w:r>
          </w:p>
        </w:tc>
        <w:tc>
          <w:tcPr>
            <w:tcW w:w="2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51A89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La Trobe</w:t>
            </w:r>
            <w:r w:rsidRPr="003F168A">
              <w:rPr>
                <w:rFonts w:cs="Arial"/>
                <w:noProof/>
                <w:color w:val="auto"/>
                <w:szCs w:val="20"/>
                <w:lang w:eastAsia="en-AU"/>
              </w:rPr>
              <w:drawing>
                <wp:inline distT="0" distB="0" distL="0" distR="0" wp14:anchorId="566C88E6" wp14:editId="1CCCC9BB">
                  <wp:extent cx="99060" cy="121920"/>
                  <wp:effectExtent l="0" t="0" r="0" b="0"/>
                  <wp:docPr id="13" name="Picture 13" descr="PB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B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7BABB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La Trobe</w:t>
            </w:r>
            <w:r w:rsidRPr="003F168A">
              <w:rPr>
                <w:rFonts w:cs="Arial"/>
                <w:noProof/>
                <w:color w:val="auto"/>
                <w:szCs w:val="20"/>
                <w:lang w:eastAsia="en-AU"/>
              </w:rPr>
              <w:drawing>
                <wp:inline distT="0" distB="0" distL="0" distR="0" wp14:anchorId="7763CD2B" wp14:editId="4AC2DA57">
                  <wp:extent cx="99060" cy="121920"/>
                  <wp:effectExtent l="0" t="0" r="0" b="0"/>
                  <wp:docPr id="12" name="Picture 12" descr="PB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B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" w:type="dxa"/>
            <w:vAlign w:val="center"/>
            <w:hideMark/>
          </w:tcPr>
          <w:p w14:paraId="6C738447" w14:textId="77777777" w:rsidR="003F168A" w:rsidRPr="003F168A" w:rsidRDefault="003F168A">
            <w:pPr>
              <w:rPr>
                <w:rFonts w:cs="Arial"/>
                <w:color w:val="auto"/>
                <w:szCs w:val="20"/>
              </w:rPr>
            </w:pPr>
            <w:r w:rsidRPr="003F168A">
              <w:rPr>
                <w:rFonts w:cs="Arial"/>
                <w:color w:val="auto"/>
                <w:szCs w:val="20"/>
              </w:rPr>
              <w:t> </w:t>
            </w:r>
          </w:p>
        </w:tc>
      </w:tr>
      <w:tr w:rsidR="003F168A" w:rsidRPr="003F168A" w14:paraId="233437DF" w14:textId="77777777" w:rsidTr="003F168A">
        <w:trPr>
          <w:trHeight w:val="238"/>
        </w:trPr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7FA25" w14:textId="77777777" w:rsidR="003F168A" w:rsidRPr="003F168A" w:rsidRDefault="003F168A">
            <w:pPr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field pea</w:t>
            </w: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43A34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-</w:t>
            </w:r>
          </w:p>
        </w:tc>
        <w:tc>
          <w:tcPr>
            <w:tcW w:w="2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9B1C9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PBA Butler</w:t>
            </w:r>
            <w:r w:rsidRPr="003F168A">
              <w:rPr>
                <w:rFonts w:cs="Arial"/>
                <w:noProof/>
                <w:color w:val="auto"/>
                <w:szCs w:val="20"/>
                <w:lang w:eastAsia="en-AU"/>
              </w:rPr>
              <w:drawing>
                <wp:inline distT="0" distB="0" distL="0" distR="0" wp14:anchorId="303F0EDA" wp14:editId="7E299377">
                  <wp:extent cx="99060" cy="121920"/>
                  <wp:effectExtent l="0" t="0" r="0" b="0"/>
                  <wp:docPr id="10" name="Picture 10" descr="PB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B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63E25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-</w:t>
            </w:r>
          </w:p>
        </w:tc>
        <w:tc>
          <w:tcPr>
            <w:tcW w:w="76" w:type="dxa"/>
            <w:vAlign w:val="center"/>
            <w:hideMark/>
          </w:tcPr>
          <w:p w14:paraId="4BDAC7EA" w14:textId="77777777" w:rsidR="003F168A" w:rsidRPr="003F168A" w:rsidRDefault="003F168A">
            <w:pPr>
              <w:rPr>
                <w:rFonts w:cs="Arial"/>
                <w:color w:val="auto"/>
                <w:szCs w:val="20"/>
              </w:rPr>
            </w:pPr>
            <w:r w:rsidRPr="003F168A">
              <w:rPr>
                <w:rFonts w:cs="Arial"/>
                <w:color w:val="auto"/>
                <w:szCs w:val="20"/>
              </w:rPr>
              <w:t> </w:t>
            </w:r>
          </w:p>
        </w:tc>
      </w:tr>
      <w:tr w:rsidR="003F168A" w:rsidRPr="003F168A" w14:paraId="6899DE9B" w14:textId="77777777" w:rsidTr="003F168A">
        <w:trPr>
          <w:trHeight w:val="238"/>
        </w:trPr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03404" w14:textId="77777777" w:rsidR="003F168A" w:rsidRPr="003F168A" w:rsidRDefault="003F168A">
            <w:pPr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vetch</w:t>
            </w: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8344E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-</w:t>
            </w:r>
          </w:p>
        </w:tc>
        <w:tc>
          <w:tcPr>
            <w:tcW w:w="2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B4650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-</w:t>
            </w:r>
          </w:p>
        </w:tc>
        <w:tc>
          <w:tcPr>
            <w:tcW w:w="195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54AD3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RM4</w:t>
            </w:r>
            <w:r w:rsidRPr="003F168A">
              <w:rPr>
                <w:rFonts w:cs="Arial"/>
                <w:noProof/>
                <w:color w:val="auto"/>
                <w:szCs w:val="20"/>
                <w:lang w:eastAsia="en-AU"/>
              </w:rPr>
              <w:drawing>
                <wp:inline distT="0" distB="0" distL="0" distR="0" wp14:anchorId="1C0B2701" wp14:editId="72E4250E">
                  <wp:extent cx="99060" cy="121920"/>
                  <wp:effectExtent l="0" t="0" r="0" b="0"/>
                  <wp:docPr id="5" name="Picture 5" descr="PB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B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" w:type="dxa"/>
            <w:vAlign w:val="center"/>
            <w:hideMark/>
          </w:tcPr>
          <w:p w14:paraId="21843960" w14:textId="77777777" w:rsidR="003F168A" w:rsidRPr="003F168A" w:rsidRDefault="003F168A">
            <w:pPr>
              <w:rPr>
                <w:rFonts w:cs="Arial"/>
                <w:color w:val="auto"/>
                <w:szCs w:val="20"/>
              </w:rPr>
            </w:pPr>
            <w:r w:rsidRPr="003F168A">
              <w:rPr>
                <w:rFonts w:cs="Arial"/>
                <w:color w:val="auto"/>
                <w:szCs w:val="20"/>
              </w:rPr>
              <w:t> </w:t>
            </w:r>
          </w:p>
        </w:tc>
      </w:tr>
      <w:tr w:rsidR="003F168A" w:rsidRPr="003F168A" w14:paraId="4C408C23" w14:textId="77777777" w:rsidTr="003F168A">
        <w:trPr>
          <w:trHeight w:val="238"/>
        </w:trPr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DCC21" w14:textId="77777777" w:rsidR="003F168A" w:rsidRPr="003F168A" w:rsidRDefault="003F168A">
            <w:pPr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oats</w:t>
            </w:r>
          </w:p>
        </w:tc>
        <w:tc>
          <w:tcPr>
            <w:tcW w:w="20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CF671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-</w:t>
            </w:r>
          </w:p>
        </w:tc>
        <w:tc>
          <w:tcPr>
            <w:tcW w:w="2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7089F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-</w:t>
            </w:r>
          </w:p>
        </w:tc>
        <w:tc>
          <w:tcPr>
            <w:tcW w:w="195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27EC0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Williams</w:t>
            </w:r>
            <w:r w:rsidRPr="003F168A">
              <w:rPr>
                <w:rFonts w:cs="Arial"/>
                <w:noProof/>
                <w:color w:val="auto"/>
                <w:szCs w:val="20"/>
                <w:lang w:eastAsia="en-AU"/>
              </w:rPr>
              <w:drawing>
                <wp:inline distT="0" distB="0" distL="0" distR="0" wp14:anchorId="356E862B" wp14:editId="6C1DF1AA">
                  <wp:extent cx="99060" cy="121920"/>
                  <wp:effectExtent l="0" t="0" r="0" b="0"/>
                  <wp:docPr id="2" name="Picture 2" descr="PB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B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" w:type="dxa"/>
            <w:vAlign w:val="center"/>
            <w:hideMark/>
          </w:tcPr>
          <w:p w14:paraId="41754E10" w14:textId="77777777" w:rsidR="003F168A" w:rsidRPr="003F168A" w:rsidRDefault="003F168A">
            <w:pPr>
              <w:rPr>
                <w:rFonts w:cs="Arial"/>
                <w:color w:val="auto"/>
                <w:szCs w:val="20"/>
              </w:rPr>
            </w:pPr>
            <w:r w:rsidRPr="003F168A">
              <w:rPr>
                <w:rFonts w:cs="Arial"/>
                <w:color w:val="auto"/>
                <w:szCs w:val="20"/>
              </w:rPr>
              <w:t> </w:t>
            </w:r>
          </w:p>
        </w:tc>
      </w:tr>
      <w:tr w:rsidR="003F168A" w:rsidRPr="003F168A" w14:paraId="5C3101F0" w14:textId="77777777" w:rsidTr="003F168A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CE9C3" w14:textId="77777777" w:rsidR="003F168A" w:rsidRPr="003F168A" w:rsidRDefault="003F168A">
            <w:pPr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weed free fallow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0CFE2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3D61C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yes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9D52D" w14:textId="77777777" w:rsidR="003F168A" w:rsidRPr="003F168A" w:rsidRDefault="003F168A">
            <w:pPr>
              <w:jc w:val="center"/>
              <w:rPr>
                <w:rFonts w:cs="Arial"/>
                <w:color w:val="auto"/>
                <w:szCs w:val="20"/>
                <w:lang w:eastAsia="en-AU"/>
              </w:rPr>
            </w:pPr>
            <w:r w:rsidRPr="003F168A">
              <w:rPr>
                <w:rFonts w:cs="Arial"/>
                <w:color w:val="auto"/>
                <w:szCs w:val="20"/>
                <w:lang w:eastAsia="en-AU"/>
              </w:rPr>
              <w:t>yes</w:t>
            </w:r>
          </w:p>
        </w:tc>
        <w:tc>
          <w:tcPr>
            <w:tcW w:w="76" w:type="dxa"/>
            <w:vAlign w:val="center"/>
            <w:hideMark/>
          </w:tcPr>
          <w:p w14:paraId="16D3F37F" w14:textId="77777777" w:rsidR="003F168A" w:rsidRPr="003F168A" w:rsidRDefault="003F168A">
            <w:pPr>
              <w:rPr>
                <w:rFonts w:cs="Arial"/>
                <w:color w:val="auto"/>
                <w:szCs w:val="20"/>
              </w:rPr>
            </w:pPr>
            <w:r w:rsidRPr="003F168A">
              <w:rPr>
                <w:rFonts w:cs="Arial"/>
                <w:color w:val="auto"/>
                <w:szCs w:val="20"/>
              </w:rPr>
              <w:t> </w:t>
            </w:r>
          </w:p>
        </w:tc>
      </w:tr>
      <w:tr w:rsidR="003F168A" w:rsidRPr="003F168A" w14:paraId="59B6C2FA" w14:textId="77777777" w:rsidTr="003F168A">
        <w:trPr>
          <w:trHeight w:val="285"/>
        </w:trPr>
        <w:tc>
          <w:tcPr>
            <w:tcW w:w="1843" w:type="dxa"/>
            <w:vAlign w:val="center"/>
            <w:hideMark/>
          </w:tcPr>
          <w:p w14:paraId="5F2433DF" w14:textId="77777777" w:rsidR="003F168A" w:rsidRPr="003F168A" w:rsidRDefault="003F168A">
            <w:pPr>
              <w:rPr>
                <w:rFonts w:cs="Arial"/>
                <w:color w:val="auto"/>
                <w:szCs w:val="20"/>
              </w:rPr>
            </w:pPr>
          </w:p>
        </w:tc>
        <w:tc>
          <w:tcPr>
            <w:tcW w:w="2015" w:type="dxa"/>
            <w:vAlign w:val="center"/>
            <w:hideMark/>
          </w:tcPr>
          <w:p w14:paraId="0AE6CA22" w14:textId="77777777" w:rsidR="003F168A" w:rsidRPr="003F168A" w:rsidRDefault="003F168A">
            <w:pPr>
              <w:rPr>
                <w:rFonts w:eastAsia="Times New Roman" w:cs="Arial"/>
                <w:color w:val="auto"/>
                <w:szCs w:val="20"/>
                <w:lang w:eastAsia="en-AU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14:paraId="52E51ED7" w14:textId="77777777" w:rsidR="003F168A" w:rsidRPr="003F168A" w:rsidRDefault="003F168A">
            <w:pPr>
              <w:rPr>
                <w:rFonts w:eastAsia="Times New Roman" w:cs="Arial"/>
                <w:color w:val="auto"/>
                <w:szCs w:val="20"/>
                <w:lang w:eastAsia="en-AU"/>
              </w:rPr>
            </w:pPr>
          </w:p>
        </w:tc>
        <w:tc>
          <w:tcPr>
            <w:tcW w:w="13" w:type="dxa"/>
            <w:vAlign w:val="center"/>
            <w:hideMark/>
          </w:tcPr>
          <w:p w14:paraId="3ADD098E" w14:textId="77777777" w:rsidR="003F168A" w:rsidRPr="003F168A" w:rsidRDefault="003F168A">
            <w:pPr>
              <w:rPr>
                <w:rFonts w:eastAsia="Times New Roman" w:cs="Arial"/>
                <w:color w:val="auto"/>
                <w:szCs w:val="20"/>
                <w:lang w:eastAsia="en-AU"/>
              </w:rPr>
            </w:pPr>
          </w:p>
        </w:tc>
        <w:tc>
          <w:tcPr>
            <w:tcW w:w="1774" w:type="dxa"/>
            <w:vAlign w:val="center"/>
            <w:hideMark/>
          </w:tcPr>
          <w:p w14:paraId="4CC45232" w14:textId="77777777" w:rsidR="003F168A" w:rsidRPr="003F168A" w:rsidRDefault="003F168A">
            <w:pPr>
              <w:rPr>
                <w:rFonts w:eastAsia="Times New Roman" w:cs="Arial"/>
                <w:color w:val="auto"/>
                <w:szCs w:val="20"/>
                <w:lang w:eastAsia="en-AU"/>
              </w:rPr>
            </w:pPr>
          </w:p>
        </w:tc>
        <w:tc>
          <w:tcPr>
            <w:tcW w:w="76" w:type="dxa"/>
            <w:vAlign w:val="center"/>
            <w:hideMark/>
          </w:tcPr>
          <w:p w14:paraId="22921831" w14:textId="77777777" w:rsidR="003F168A" w:rsidRPr="003F168A" w:rsidRDefault="003F168A">
            <w:pPr>
              <w:rPr>
                <w:rFonts w:eastAsia="Times New Roman" w:cs="Arial"/>
                <w:color w:val="auto"/>
                <w:szCs w:val="20"/>
                <w:lang w:eastAsia="en-AU"/>
              </w:rPr>
            </w:pPr>
          </w:p>
        </w:tc>
      </w:tr>
    </w:tbl>
    <w:p w14:paraId="5362CCFB" w14:textId="77777777" w:rsidR="00F47597" w:rsidRDefault="00F47597" w:rsidP="00AD2D56">
      <w:r>
        <w:t xml:space="preserve">Pre-season sampling </w:t>
      </w:r>
      <w:r w:rsidR="006C53CC">
        <w:t xml:space="preserve">to obtain the baseline soilborne pathogen and nematode </w:t>
      </w:r>
      <w:r w:rsidR="006C53CC" w:rsidRPr="005E4842">
        <w:t>pest levels at each site</w:t>
      </w:r>
      <w:r w:rsidR="006C53CC">
        <w:t xml:space="preserve"> </w:t>
      </w:r>
      <w:r>
        <w:t>included soil nutrient analyses and</w:t>
      </w:r>
      <w:r w:rsidR="00422796" w:rsidRPr="00422796">
        <w:t xml:space="preserve"> </w:t>
      </w:r>
      <w:r w:rsidR="00AC4821">
        <w:t>t</w:t>
      </w:r>
      <w:r w:rsidR="00AA11CD">
        <w:t>esting</w:t>
      </w:r>
      <w:r w:rsidR="00422796">
        <w:t xml:space="preserve"> for </w:t>
      </w:r>
      <w:r w:rsidR="007A413B" w:rsidRPr="007A413B">
        <w:rPr>
          <w:i/>
        </w:rPr>
        <w:t xml:space="preserve">R. </w:t>
      </w:r>
      <w:proofErr w:type="spellStart"/>
      <w:r w:rsidR="007A413B" w:rsidRPr="007A413B">
        <w:rPr>
          <w:i/>
        </w:rPr>
        <w:t>solani</w:t>
      </w:r>
      <w:proofErr w:type="spellEnd"/>
      <w:r w:rsidR="007A413B" w:rsidRPr="007A413B">
        <w:t xml:space="preserve"> </w:t>
      </w:r>
      <w:r w:rsidR="00422796">
        <w:t>and RLN levels using qPCR</w:t>
      </w:r>
      <w:r>
        <w:t xml:space="preserve"> </w:t>
      </w:r>
      <w:r w:rsidR="00CF2DE0">
        <w:t>(</w:t>
      </w:r>
      <w:proofErr w:type="spellStart"/>
      <w:r w:rsidR="00CF2DE0">
        <w:t>P</w:t>
      </w:r>
      <w:r w:rsidR="00CF2DE0" w:rsidRPr="008407B1">
        <w:rPr>
          <w:i/>
          <w:vertAlign w:val="subscript"/>
        </w:rPr>
        <w:t>i</w:t>
      </w:r>
      <w:r w:rsidR="006C53CC" w:rsidRPr="008407B1">
        <w:rPr>
          <w:i/>
          <w:vertAlign w:val="subscript"/>
        </w:rPr>
        <w:t>nitial</w:t>
      </w:r>
      <w:proofErr w:type="spellEnd"/>
      <w:r w:rsidR="00CF2DE0">
        <w:t xml:space="preserve">) </w:t>
      </w:r>
      <w:r w:rsidR="006C53CC">
        <w:t>in</w:t>
      </w:r>
      <w:r>
        <w:t xml:space="preserve"> each plot</w:t>
      </w:r>
      <w:r w:rsidRPr="005E4842">
        <w:t>.</w:t>
      </w:r>
      <w:r w:rsidR="005E4842">
        <w:t xml:space="preserve"> </w:t>
      </w:r>
      <w:r w:rsidR="007A413B" w:rsidRPr="007A413B">
        <w:rPr>
          <w:i/>
        </w:rPr>
        <w:t xml:space="preserve">R. </w:t>
      </w:r>
      <w:proofErr w:type="spellStart"/>
      <w:r w:rsidR="007A413B" w:rsidRPr="007A413B">
        <w:rPr>
          <w:i/>
        </w:rPr>
        <w:t>solani</w:t>
      </w:r>
      <w:proofErr w:type="spellEnd"/>
      <w:r w:rsidR="007A413B" w:rsidRPr="007A413B">
        <w:t xml:space="preserve"> </w:t>
      </w:r>
      <w:r w:rsidR="00AA11CD">
        <w:t xml:space="preserve">and RLN levels using qPCR were </w:t>
      </w:r>
      <w:r w:rsidR="006C53CC">
        <w:t>also</w:t>
      </w:r>
      <w:r w:rsidR="00AA11CD">
        <w:t xml:space="preserve"> measured </w:t>
      </w:r>
      <w:r w:rsidR="005E4842">
        <w:t>from each plot after harvest (</w:t>
      </w:r>
      <w:proofErr w:type="spellStart"/>
      <w:r w:rsidR="005E4842">
        <w:t>P</w:t>
      </w:r>
      <w:r w:rsidR="005E4842" w:rsidRPr="003858CB">
        <w:rPr>
          <w:i/>
          <w:vertAlign w:val="subscript"/>
        </w:rPr>
        <w:t>f</w:t>
      </w:r>
      <w:r w:rsidR="006C53CC" w:rsidRPr="003858CB">
        <w:rPr>
          <w:i/>
          <w:vertAlign w:val="subscript"/>
        </w:rPr>
        <w:t>inal</w:t>
      </w:r>
      <w:proofErr w:type="spellEnd"/>
      <w:r w:rsidR="005E4842">
        <w:t>).</w:t>
      </w:r>
      <w:r w:rsidR="00B444BC">
        <w:t xml:space="preserve"> </w:t>
      </w:r>
    </w:p>
    <w:p w14:paraId="105EA30F" w14:textId="77777777" w:rsidR="00F47597" w:rsidRDefault="00F47597" w:rsidP="00F47597">
      <w:r>
        <w:t xml:space="preserve">ANOVA </w:t>
      </w:r>
      <w:r w:rsidR="000A783D">
        <w:t>(</w:t>
      </w:r>
      <w:proofErr w:type="spellStart"/>
      <w:r w:rsidR="000A783D">
        <w:t>Genstat</w:t>
      </w:r>
      <w:proofErr w:type="spellEnd"/>
      <w:r w:rsidR="000A783D">
        <w:t xml:space="preserve"> 19</w:t>
      </w:r>
      <w:r w:rsidR="000A783D" w:rsidRPr="00F47597">
        <w:rPr>
          <w:vertAlign w:val="superscript"/>
        </w:rPr>
        <w:t>th</w:t>
      </w:r>
      <w:r w:rsidR="000A783D">
        <w:t xml:space="preserve"> Edition) </w:t>
      </w:r>
      <w:r>
        <w:t xml:space="preserve">was performed </w:t>
      </w:r>
      <w:r w:rsidR="00264EA0">
        <w:t xml:space="preserve">on the square root or cube root transformed data (where necessary) for </w:t>
      </w:r>
      <w:r>
        <w:t>Pi</w:t>
      </w:r>
      <w:r w:rsidR="00947A15">
        <w:t xml:space="preserve"> and</w:t>
      </w:r>
      <w:r>
        <w:t xml:space="preserve"> </w:t>
      </w:r>
      <w:proofErr w:type="spellStart"/>
      <w:r>
        <w:t>Pf</w:t>
      </w:r>
      <w:proofErr w:type="spellEnd"/>
      <w:r>
        <w:t xml:space="preserve"> </w:t>
      </w:r>
      <w:r w:rsidR="00A11526">
        <w:t>qPCR</w:t>
      </w:r>
      <w:r>
        <w:t xml:space="preserve"> results</w:t>
      </w:r>
      <w:r w:rsidR="00C8414A">
        <w:t xml:space="preserve">, </w:t>
      </w:r>
      <w:r w:rsidR="00C8414A" w:rsidRPr="006110F7">
        <w:t>pre</w:t>
      </w:r>
      <w:r w:rsidR="00351C84">
        <w:t>-</w:t>
      </w:r>
      <w:r w:rsidR="00C8414A" w:rsidRPr="006110F7">
        <w:t>season nitrogen levels</w:t>
      </w:r>
      <w:r>
        <w:t xml:space="preserve"> and </w:t>
      </w:r>
      <w:r w:rsidR="00093CDF">
        <w:t xml:space="preserve">grain </w:t>
      </w:r>
      <w:r w:rsidR="005C17AD">
        <w:t>yields</w:t>
      </w:r>
      <w:r w:rsidR="00A11526">
        <w:t>.</w:t>
      </w:r>
      <w:r>
        <w:t xml:space="preserve"> </w:t>
      </w:r>
      <w:r w:rsidR="00A11526">
        <w:t>M</w:t>
      </w:r>
      <w:r>
        <w:t>ultiple comparisons (</w:t>
      </w:r>
      <w:r w:rsidR="00EB22F1">
        <w:t>p</w:t>
      </w:r>
      <w:r>
        <w:t>&lt;0.</w:t>
      </w:r>
      <w:r w:rsidR="005764A0">
        <w:t>10</w:t>
      </w:r>
      <w:r>
        <w:t xml:space="preserve">) were performed </w:t>
      </w:r>
      <w:r w:rsidR="00264EA0">
        <w:t>us</w:t>
      </w:r>
      <w:r>
        <w:t xml:space="preserve">ing Fisher’s </w:t>
      </w:r>
      <w:r w:rsidR="000A783D">
        <w:t xml:space="preserve">Protected </w:t>
      </w:r>
      <w:r>
        <w:t>LSD</w:t>
      </w:r>
      <w:r w:rsidR="000A783D">
        <w:t xml:space="preserve">. </w:t>
      </w:r>
      <w:r w:rsidR="00264EA0">
        <w:t>Simple linear regression analyses</w:t>
      </w:r>
      <w:r w:rsidR="00701314">
        <w:t xml:space="preserve"> between</w:t>
      </w:r>
      <w:r>
        <w:t xml:space="preserve"> </w:t>
      </w:r>
      <w:r w:rsidR="00701314">
        <w:t xml:space="preserve">RLN or </w:t>
      </w:r>
      <w:r w:rsidR="007A413B" w:rsidRPr="007A413B">
        <w:rPr>
          <w:i/>
        </w:rPr>
        <w:t xml:space="preserve">R. </w:t>
      </w:r>
      <w:proofErr w:type="spellStart"/>
      <w:r w:rsidR="007A413B" w:rsidRPr="007A413B">
        <w:rPr>
          <w:i/>
        </w:rPr>
        <w:t>solani</w:t>
      </w:r>
      <w:proofErr w:type="spellEnd"/>
      <w:r w:rsidR="007A413B" w:rsidRPr="007A413B">
        <w:t xml:space="preserve"> </w:t>
      </w:r>
      <w:r w:rsidR="00701314">
        <w:t xml:space="preserve">and yield </w:t>
      </w:r>
      <w:r>
        <w:t xml:space="preserve">were </w:t>
      </w:r>
      <w:r w:rsidR="00351C84">
        <w:t xml:space="preserve">performed </w:t>
      </w:r>
      <w:r w:rsidR="00264EA0">
        <w:t>on square root or cube root transformed data</w:t>
      </w:r>
      <w:r>
        <w:t>.</w:t>
      </w:r>
    </w:p>
    <w:p w14:paraId="19A2432E" w14:textId="77777777" w:rsidR="008C6588" w:rsidRDefault="003B6DA6" w:rsidP="008F2638">
      <w:pPr>
        <w:pStyle w:val="Heading2"/>
      </w:pPr>
      <w:r w:rsidRPr="008F2638">
        <w:t>R</w:t>
      </w:r>
      <w:r w:rsidR="008C6588" w:rsidRPr="008F2638">
        <w:t>esults</w:t>
      </w:r>
    </w:p>
    <w:p w14:paraId="00F7EF31" w14:textId="77777777" w:rsidR="00F26832" w:rsidRDefault="000608CC" w:rsidP="00093CDF">
      <w:pPr>
        <w:pStyle w:val="Heading3"/>
      </w:pPr>
      <w:r>
        <w:t xml:space="preserve">2019 </w:t>
      </w:r>
      <w:r w:rsidR="00AB45F1">
        <w:t>p</w:t>
      </w:r>
      <w:r w:rsidR="00F26832">
        <w:t>re</w:t>
      </w:r>
      <w:r w:rsidR="00351C84">
        <w:t>-</w:t>
      </w:r>
      <w:r w:rsidR="00F26832">
        <w:t xml:space="preserve">season </w:t>
      </w:r>
      <w:r w:rsidR="00351C84">
        <w:t>n</w:t>
      </w:r>
      <w:r w:rsidR="00F26832">
        <w:t>itrogen at Grass Valley and Dumbleyung</w:t>
      </w:r>
    </w:p>
    <w:p w14:paraId="429FD61C" w14:textId="77777777" w:rsidR="00AC4821" w:rsidRDefault="00351C84" w:rsidP="00AC4821">
      <w:r>
        <w:t>At Grass Valley, a</w:t>
      </w:r>
      <w:r w:rsidR="003858CB">
        <w:t>ll l</w:t>
      </w:r>
      <w:r w:rsidR="00701314">
        <w:t xml:space="preserve">evels of ammonium N at the </w:t>
      </w:r>
      <w:r>
        <w:t xml:space="preserve">start </w:t>
      </w:r>
      <w:r w:rsidR="00701314">
        <w:t xml:space="preserve">of the 2019 </w:t>
      </w:r>
      <w:r w:rsidR="003858CB">
        <w:t xml:space="preserve">season </w:t>
      </w:r>
      <w:r w:rsidR="00701314">
        <w:t>were similar</w:t>
      </w:r>
      <w:r w:rsidR="003858CB">
        <w:t xml:space="preserve"> regardless of the crop sown in 2018 </w:t>
      </w:r>
      <w:r w:rsidR="00AC4821">
        <w:t xml:space="preserve">(p&gt;0.10) </w:t>
      </w:r>
      <w:r w:rsidR="00CB44EF">
        <w:t>(Table 3</w:t>
      </w:r>
      <w:r w:rsidR="00155344">
        <w:t xml:space="preserve">). </w:t>
      </w:r>
      <w:r w:rsidR="00AC4821">
        <w:t>However, the nitrate N levels were significantly (p&lt;0.10) higher in the 2018 fallow treatments compared with</w:t>
      </w:r>
      <w:r w:rsidR="00155344">
        <w:t xml:space="preserve"> all but the canola treatment. </w:t>
      </w:r>
      <w:r w:rsidR="00AC4821">
        <w:t xml:space="preserve">At Dumbleyung, statistical analyses on the ammonium N results were not </w:t>
      </w:r>
      <w:r w:rsidR="00155344">
        <w:t>done</w:t>
      </w:r>
      <w:r w:rsidR="00AC4821">
        <w:t xml:space="preserve"> as some of the results were </w:t>
      </w:r>
      <w:r w:rsidR="004151BA">
        <w:t>below</w:t>
      </w:r>
      <w:r w:rsidR="00CB44EF">
        <w:t xml:space="preserve"> detection levels (Table 4</w:t>
      </w:r>
      <w:r w:rsidR="003B187C">
        <w:t>)</w:t>
      </w:r>
      <w:r w:rsidR="00155344">
        <w:t>.</w:t>
      </w:r>
      <w:r w:rsidR="004151BA">
        <w:t xml:space="preserve"> </w:t>
      </w:r>
      <w:r w:rsidR="00AC4821">
        <w:t xml:space="preserve">The nitrate N levels were significantly (p&lt;0.01) higher in the </w:t>
      </w:r>
      <w:proofErr w:type="spellStart"/>
      <w:r w:rsidR="00AC4821">
        <w:t>faba</w:t>
      </w:r>
      <w:proofErr w:type="spellEnd"/>
      <w:r w:rsidR="00AC4821">
        <w:t xml:space="preserve"> bean and serradella plots compared with the canola and lupin plots.</w:t>
      </w:r>
    </w:p>
    <w:p w14:paraId="08E5C991" w14:textId="77777777" w:rsidR="00F26832" w:rsidRPr="00171600" w:rsidRDefault="00FE6956" w:rsidP="00AD2D56">
      <w:pPr>
        <w:rPr>
          <w:b/>
          <w:sz w:val="22"/>
        </w:rPr>
      </w:pPr>
      <w:r w:rsidRPr="00171600">
        <w:rPr>
          <w:b/>
          <w:sz w:val="22"/>
        </w:rPr>
        <w:t xml:space="preserve">Table </w:t>
      </w:r>
      <w:r w:rsidR="00CB44EF" w:rsidRPr="00171600">
        <w:rPr>
          <w:b/>
          <w:sz w:val="22"/>
        </w:rPr>
        <w:t>3</w:t>
      </w:r>
      <w:r w:rsidR="00AC4821" w:rsidRPr="00171600">
        <w:rPr>
          <w:b/>
          <w:sz w:val="22"/>
        </w:rPr>
        <w:t>:  Pre</w:t>
      </w:r>
      <w:r w:rsidR="00351C84">
        <w:rPr>
          <w:b/>
          <w:sz w:val="22"/>
        </w:rPr>
        <w:t>-</w:t>
      </w:r>
      <w:r w:rsidR="00AC4821" w:rsidRPr="00171600">
        <w:rPr>
          <w:b/>
          <w:sz w:val="22"/>
        </w:rPr>
        <w:t xml:space="preserve">season </w:t>
      </w:r>
      <w:r w:rsidR="007638B0" w:rsidRPr="00171600">
        <w:rPr>
          <w:b/>
          <w:sz w:val="22"/>
        </w:rPr>
        <w:t xml:space="preserve">nitrogen </w:t>
      </w:r>
      <w:r w:rsidR="00AC4821" w:rsidRPr="00171600">
        <w:rPr>
          <w:b/>
          <w:sz w:val="22"/>
        </w:rPr>
        <w:t>levels at Grass Valley</w:t>
      </w:r>
      <w:r w:rsidR="007638B0" w:rsidRPr="00171600">
        <w:rPr>
          <w:b/>
          <w:sz w:val="22"/>
        </w:rPr>
        <w:t xml:space="preserve"> in 2019</w:t>
      </w:r>
      <w:r w:rsidR="0020165A" w:rsidRPr="00171600">
        <w:rPr>
          <w:b/>
          <w:sz w:val="22"/>
        </w:rPr>
        <w:t xml:space="preserve"> following a range of </w:t>
      </w:r>
      <w:r w:rsidR="002911AF" w:rsidRPr="00171600">
        <w:rPr>
          <w:b/>
          <w:sz w:val="22"/>
        </w:rPr>
        <w:t>break crop</w:t>
      </w:r>
      <w:r w:rsidR="0020165A" w:rsidRPr="00171600">
        <w:rPr>
          <w:b/>
          <w:sz w:val="22"/>
        </w:rPr>
        <w:t>s grown in 2018.</w:t>
      </w:r>
    </w:p>
    <w:tbl>
      <w:tblPr>
        <w:tblW w:w="8425" w:type="dxa"/>
        <w:tblLook w:val="04A0" w:firstRow="1" w:lastRow="0" w:firstColumn="1" w:lastColumn="0" w:noHBand="0" w:noVBand="1"/>
      </w:tblPr>
      <w:tblGrid>
        <w:gridCol w:w="1444"/>
        <w:gridCol w:w="1746"/>
        <w:gridCol w:w="2496"/>
        <w:gridCol w:w="2739"/>
      </w:tblGrid>
      <w:tr w:rsidR="000608CC" w:rsidRPr="003858CB" w14:paraId="2F3753CD" w14:textId="77777777" w:rsidTr="00680260">
        <w:trPr>
          <w:trHeight w:val="279"/>
        </w:trPr>
        <w:tc>
          <w:tcPr>
            <w:tcW w:w="14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727300" w14:textId="77777777" w:rsidR="003858CB" w:rsidRPr="003858CB" w:rsidRDefault="003858CB" w:rsidP="003858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  <w:t>Crop Type 2018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B2B11A" w14:textId="77777777" w:rsidR="003858CB" w:rsidRPr="003858CB" w:rsidRDefault="003858CB" w:rsidP="003858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  <w:t>Crop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0EDB8" w14:textId="77777777" w:rsidR="003858CB" w:rsidRPr="003858CB" w:rsidRDefault="003858CB" w:rsidP="000608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  <w:t>Ammonium N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52F5" w14:textId="77777777" w:rsidR="003858CB" w:rsidRPr="003858CB" w:rsidRDefault="003858CB" w:rsidP="000608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  <w:t>Nitrate N</w:t>
            </w:r>
          </w:p>
        </w:tc>
      </w:tr>
      <w:tr w:rsidR="003858CB" w:rsidRPr="003858CB" w14:paraId="5A6FDFBE" w14:textId="77777777" w:rsidTr="00680260">
        <w:trPr>
          <w:trHeight w:val="292"/>
        </w:trPr>
        <w:tc>
          <w:tcPr>
            <w:tcW w:w="14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96B9CC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62B2E5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75CD16" w14:textId="77777777" w:rsidR="003858CB" w:rsidRPr="003858CB" w:rsidRDefault="003858CB" w:rsidP="000608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  <w:t>mg/kg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49B349" w14:textId="77777777" w:rsidR="003858CB" w:rsidRPr="003858CB" w:rsidRDefault="003858CB" w:rsidP="000608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  <w:t>mg/kg</w:t>
            </w:r>
          </w:p>
        </w:tc>
      </w:tr>
      <w:tr w:rsidR="003858CB" w:rsidRPr="003858CB" w14:paraId="29DA8537" w14:textId="77777777" w:rsidTr="00680260">
        <w:trPr>
          <w:trHeight w:val="279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76F44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Pasture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451E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Serradella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5954" w14:textId="77777777" w:rsidR="003858CB" w:rsidRPr="003858CB" w:rsidRDefault="000608CC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>
              <w:rPr>
                <w:rFonts w:eastAsia="Times New Roman" w:cs="Arial"/>
                <w:color w:val="404040"/>
                <w:szCs w:val="20"/>
                <w:lang w:eastAsia="en-AU"/>
              </w:rPr>
              <w:t xml:space="preserve"> </w:t>
            </w:r>
            <w:r w:rsidR="003858CB"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8.5(a)^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C5A7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13.5(ab)</w:t>
            </w:r>
          </w:p>
        </w:tc>
      </w:tr>
      <w:tr w:rsidR="003858CB" w:rsidRPr="003858CB" w14:paraId="11601EA0" w14:textId="77777777" w:rsidTr="00680260">
        <w:trPr>
          <w:trHeight w:val="279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57E3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6F2F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color w:val="404040"/>
                <w:szCs w:val="20"/>
                <w:lang w:eastAsia="en-AU"/>
              </w:rPr>
            </w:pPr>
            <w:proofErr w:type="spellStart"/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Subclover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6877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6.5(a)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89F4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18.2(</w:t>
            </w:r>
            <w:proofErr w:type="spellStart"/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bcd</w:t>
            </w:r>
            <w:proofErr w:type="spellEnd"/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)</w:t>
            </w:r>
          </w:p>
        </w:tc>
      </w:tr>
      <w:tr w:rsidR="003858CB" w:rsidRPr="003858CB" w14:paraId="74FF6FEC" w14:textId="77777777" w:rsidTr="00680260">
        <w:trPr>
          <w:trHeight w:val="279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9075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Pulse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920C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Field pea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C361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9.5(a)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4517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 xml:space="preserve">  16.5(</w:t>
            </w:r>
            <w:proofErr w:type="spellStart"/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abcd</w:t>
            </w:r>
            <w:proofErr w:type="spellEnd"/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)</w:t>
            </w:r>
          </w:p>
        </w:tc>
      </w:tr>
      <w:tr w:rsidR="003858CB" w:rsidRPr="003858CB" w14:paraId="74150AA5" w14:textId="77777777" w:rsidTr="00680260">
        <w:trPr>
          <w:trHeight w:val="279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B882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0BCC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Lupin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7046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7.7(a)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D4EB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 xml:space="preserve">  11.8(a)</w:t>
            </w:r>
          </w:p>
        </w:tc>
      </w:tr>
      <w:tr w:rsidR="003858CB" w:rsidRPr="003858CB" w14:paraId="0D8EBE0E" w14:textId="77777777" w:rsidTr="00680260">
        <w:trPr>
          <w:trHeight w:val="279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647FC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8C0E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Chickpea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B214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 xml:space="preserve">        6.3(a)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7D8F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 xml:space="preserve">   14.5(</w:t>
            </w:r>
            <w:proofErr w:type="spellStart"/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abc</w:t>
            </w:r>
            <w:proofErr w:type="spellEnd"/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)</w:t>
            </w:r>
          </w:p>
        </w:tc>
      </w:tr>
      <w:tr w:rsidR="003858CB" w:rsidRPr="003858CB" w14:paraId="364D1A53" w14:textId="77777777" w:rsidTr="00680260">
        <w:trPr>
          <w:trHeight w:val="279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D02A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Fallow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B41F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Fallow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F370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6.4(a)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D200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27.4(e)</w:t>
            </w:r>
          </w:p>
        </w:tc>
      </w:tr>
      <w:tr w:rsidR="003858CB" w:rsidRPr="003858CB" w14:paraId="517ED5EE" w14:textId="77777777" w:rsidTr="00680260">
        <w:trPr>
          <w:trHeight w:val="279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7B134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Oilseed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E392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Canola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1D0D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8.7(a)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3A5D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21.5(de)</w:t>
            </w:r>
          </w:p>
        </w:tc>
      </w:tr>
      <w:tr w:rsidR="003858CB" w:rsidRPr="003858CB" w14:paraId="617AEB3D" w14:textId="77777777" w:rsidTr="00680260">
        <w:trPr>
          <w:trHeight w:val="279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1E4A1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Cereals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ADCF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Barley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B651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5.2(a)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0C47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14.8(</w:t>
            </w:r>
            <w:proofErr w:type="spellStart"/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abc</w:t>
            </w:r>
            <w:proofErr w:type="spellEnd"/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)</w:t>
            </w:r>
          </w:p>
        </w:tc>
      </w:tr>
      <w:tr w:rsidR="003858CB" w:rsidRPr="003858CB" w14:paraId="652781BB" w14:textId="77777777" w:rsidTr="00680260">
        <w:trPr>
          <w:trHeight w:val="279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F6F48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FB1E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Wheat (Ca</w:t>
            </w:r>
            <w:r w:rsidR="000608CC">
              <w:rPr>
                <w:rFonts w:eastAsia="Times New Roman" w:cs="Arial"/>
                <w:color w:val="404040"/>
                <w:szCs w:val="20"/>
                <w:lang w:eastAsia="en-AU"/>
              </w:rPr>
              <w:t>lingiri</w:t>
            </w: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7F33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5.7(a)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7E12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14.3(</w:t>
            </w:r>
            <w:proofErr w:type="spellStart"/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abc</w:t>
            </w:r>
            <w:proofErr w:type="spellEnd"/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)</w:t>
            </w:r>
          </w:p>
        </w:tc>
      </w:tr>
      <w:tr w:rsidR="003858CB" w:rsidRPr="003858CB" w14:paraId="4546790C" w14:textId="77777777" w:rsidTr="00680260">
        <w:trPr>
          <w:trHeight w:val="292"/>
        </w:trPr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A8D340" w14:textId="77777777" w:rsidR="003858CB" w:rsidRPr="003858CB" w:rsidRDefault="003858CB" w:rsidP="003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3858CB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22CD" w14:textId="77777777" w:rsidR="003858CB" w:rsidRPr="003858CB" w:rsidRDefault="003858CB" w:rsidP="003858CB">
            <w:pPr>
              <w:spacing w:after="0" w:line="240" w:lineRule="auto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Wheat (Ma</w:t>
            </w:r>
            <w:r w:rsidR="000608CC">
              <w:rPr>
                <w:rFonts w:eastAsia="Times New Roman" w:cs="Arial"/>
                <w:color w:val="404040"/>
                <w:szCs w:val="20"/>
                <w:lang w:eastAsia="en-AU"/>
              </w:rPr>
              <w:t>ce</w:t>
            </w: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D098A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7.5(a)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3984B" w14:textId="77777777" w:rsidR="003858CB" w:rsidRPr="003858CB" w:rsidRDefault="003858CB" w:rsidP="003858C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>21.2(cd)</w:t>
            </w:r>
          </w:p>
        </w:tc>
      </w:tr>
    </w:tbl>
    <w:p w14:paraId="3B9E8851" w14:textId="77777777" w:rsidR="00C8414A" w:rsidRPr="00CA4B23" w:rsidRDefault="007638B0" w:rsidP="00AC4821">
      <w:pPr>
        <w:rPr>
          <w:sz w:val="16"/>
          <w:szCs w:val="16"/>
        </w:rPr>
      </w:pPr>
      <w:r w:rsidRPr="00CA4B23">
        <w:rPr>
          <w:sz w:val="16"/>
          <w:szCs w:val="16"/>
        </w:rPr>
        <w:t xml:space="preserve">^ Letters </w:t>
      </w:r>
      <w:r w:rsidR="00CB44EF" w:rsidRPr="00CB44EF">
        <w:rPr>
          <w:sz w:val="16"/>
          <w:szCs w:val="16"/>
        </w:rPr>
        <w:t>represent a significant (p&lt;0.10) difference</w:t>
      </w:r>
      <w:r w:rsidR="00AB244D">
        <w:rPr>
          <w:sz w:val="16"/>
          <w:szCs w:val="16"/>
        </w:rPr>
        <w:t>.</w:t>
      </w:r>
      <w:r w:rsidR="00CB44EF" w:rsidRPr="00CB44EF">
        <w:rPr>
          <w:sz w:val="16"/>
          <w:szCs w:val="16"/>
        </w:rPr>
        <w:t xml:space="preserve"> </w:t>
      </w:r>
    </w:p>
    <w:p w14:paraId="4BE065CA" w14:textId="77777777" w:rsidR="00680260" w:rsidRDefault="00680260" w:rsidP="00AC4821">
      <w:pPr>
        <w:rPr>
          <w:b/>
        </w:rPr>
      </w:pPr>
    </w:p>
    <w:p w14:paraId="7AADD277" w14:textId="77777777" w:rsidR="00F26832" w:rsidRPr="00171600" w:rsidRDefault="00AC4821" w:rsidP="00AC4821">
      <w:pPr>
        <w:rPr>
          <w:b/>
          <w:sz w:val="22"/>
        </w:rPr>
      </w:pPr>
      <w:r w:rsidRPr="00171600">
        <w:rPr>
          <w:b/>
          <w:sz w:val="22"/>
        </w:rPr>
        <w:t xml:space="preserve">Table </w:t>
      </w:r>
      <w:r w:rsidR="00CB44EF" w:rsidRPr="00171600">
        <w:rPr>
          <w:b/>
          <w:sz w:val="22"/>
        </w:rPr>
        <w:t>4</w:t>
      </w:r>
      <w:r w:rsidRPr="00171600">
        <w:rPr>
          <w:b/>
          <w:sz w:val="22"/>
        </w:rPr>
        <w:t>:  Pre</w:t>
      </w:r>
      <w:r w:rsidR="00351C84">
        <w:rPr>
          <w:b/>
          <w:sz w:val="22"/>
        </w:rPr>
        <w:t>-</w:t>
      </w:r>
      <w:r w:rsidRPr="00171600">
        <w:rPr>
          <w:b/>
          <w:sz w:val="22"/>
        </w:rPr>
        <w:t>season nitrogen levels at Dumbleyung</w:t>
      </w:r>
      <w:r w:rsidR="00DD27DD" w:rsidRPr="00171600">
        <w:rPr>
          <w:b/>
          <w:sz w:val="22"/>
        </w:rPr>
        <w:t xml:space="preserve"> in 2019</w:t>
      </w:r>
      <w:r w:rsidRPr="00171600">
        <w:rPr>
          <w:b/>
          <w:sz w:val="22"/>
        </w:rPr>
        <w:t xml:space="preserve">. </w:t>
      </w:r>
    </w:p>
    <w:tbl>
      <w:tblPr>
        <w:tblW w:w="6557" w:type="dxa"/>
        <w:tblLayout w:type="fixed"/>
        <w:tblLook w:val="04A0" w:firstRow="1" w:lastRow="0" w:firstColumn="1" w:lastColumn="0" w:noHBand="0" w:noVBand="1"/>
      </w:tblPr>
      <w:tblGrid>
        <w:gridCol w:w="1644"/>
        <w:gridCol w:w="2610"/>
        <w:gridCol w:w="2303"/>
      </w:tblGrid>
      <w:tr w:rsidR="00AD2D56" w:rsidRPr="00EB22F1" w14:paraId="797E592C" w14:textId="77777777" w:rsidTr="00680260">
        <w:trPr>
          <w:trHeight w:hRule="exact" w:val="529"/>
        </w:trPr>
        <w:tc>
          <w:tcPr>
            <w:tcW w:w="16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70287F" w14:textId="77777777" w:rsidR="00FE6956" w:rsidRPr="000608CC" w:rsidRDefault="00FE6956" w:rsidP="000608CC">
            <w:pPr>
              <w:rPr>
                <w:b/>
                <w:color w:val="404040"/>
              </w:rPr>
            </w:pPr>
            <w:r w:rsidRPr="000608CC">
              <w:rPr>
                <w:b/>
                <w:color w:val="404040"/>
              </w:rPr>
              <w:t>Crop 2018</w:t>
            </w:r>
            <w:r w:rsidR="00DD27DD" w:rsidRPr="00DD27DD">
              <w:rPr>
                <w:rFonts w:eastAsia="Times New Roman" w:cs="Arial"/>
                <w:color w:val="40404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E8759" w14:textId="77777777" w:rsidR="00FE6956" w:rsidRPr="000608CC" w:rsidRDefault="00EB22F1" w:rsidP="000608CC">
            <w:pPr>
              <w:spacing w:after="0" w:line="240" w:lineRule="auto"/>
              <w:jc w:val="right"/>
              <w:rPr>
                <w:b/>
                <w:color w:val="404040"/>
              </w:rPr>
            </w:pPr>
            <w:r w:rsidRPr="000608CC">
              <w:rPr>
                <w:b/>
                <w:color w:val="404040"/>
              </w:rPr>
              <w:t xml:space="preserve">Ammonium </w:t>
            </w:r>
            <w:r w:rsidR="00FE6956" w:rsidRPr="000608CC">
              <w:rPr>
                <w:b/>
                <w:color w:val="404040"/>
              </w:rPr>
              <w:t>N</w:t>
            </w:r>
            <w:r w:rsidR="00351C84">
              <w:rPr>
                <w:b/>
                <w:color w:val="404040"/>
              </w:rPr>
              <w:t>*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B3ADF" w14:textId="77777777" w:rsidR="00FE6956" w:rsidRPr="000608CC" w:rsidRDefault="00EB22F1" w:rsidP="000608CC">
            <w:pPr>
              <w:spacing w:after="0" w:line="240" w:lineRule="auto"/>
              <w:jc w:val="right"/>
              <w:rPr>
                <w:b/>
                <w:color w:val="404040"/>
              </w:rPr>
            </w:pPr>
            <w:r w:rsidRPr="000608CC">
              <w:rPr>
                <w:b/>
                <w:color w:val="404040"/>
              </w:rPr>
              <w:t xml:space="preserve">Nitrate </w:t>
            </w:r>
            <w:r w:rsidR="00FE6956" w:rsidRPr="000608CC">
              <w:rPr>
                <w:b/>
                <w:color w:val="404040"/>
              </w:rPr>
              <w:t>N</w:t>
            </w:r>
          </w:p>
        </w:tc>
      </w:tr>
      <w:tr w:rsidR="00AD2D56" w:rsidRPr="00EB22F1" w14:paraId="196E4AE1" w14:textId="77777777" w:rsidTr="00680260">
        <w:trPr>
          <w:trHeight w:hRule="exact" w:val="324"/>
        </w:trPr>
        <w:tc>
          <w:tcPr>
            <w:tcW w:w="16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2FD6DB" w14:textId="77777777" w:rsidR="00FE6956" w:rsidRPr="000608CC" w:rsidRDefault="00FE6956" w:rsidP="000608CC">
            <w:pPr>
              <w:spacing w:after="0" w:line="240" w:lineRule="auto"/>
              <w:rPr>
                <w:b/>
                <w:color w:val="40404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5282B9" w14:textId="77777777" w:rsidR="00FE6956" w:rsidRPr="000608CC" w:rsidRDefault="00DD27DD" w:rsidP="000608CC">
            <w:pPr>
              <w:spacing w:after="0" w:line="240" w:lineRule="auto"/>
              <w:jc w:val="right"/>
              <w:rPr>
                <w:b/>
                <w:color w:val="404040"/>
              </w:rPr>
            </w:pPr>
            <w:r w:rsidRPr="00DD27DD"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  <w:t>mg/kg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6DD417" w14:textId="77777777" w:rsidR="00FE6956" w:rsidRPr="000608CC" w:rsidRDefault="00DD27DD" w:rsidP="000608CC">
            <w:pPr>
              <w:spacing w:after="0" w:line="240" w:lineRule="auto"/>
              <w:jc w:val="right"/>
              <w:rPr>
                <w:b/>
                <w:color w:val="404040"/>
              </w:rPr>
            </w:pPr>
            <w:r w:rsidRPr="00DD27DD"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  <w:t>mg/kg</w:t>
            </w:r>
          </w:p>
        </w:tc>
      </w:tr>
      <w:tr w:rsidR="00FE6956" w:rsidRPr="00EB22F1" w14:paraId="3E4C2A65" w14:textId="77777777" w:rsidTr="00680260">
        <w:trPr>
          <w:trHeight w:val="30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B4905" w14:textId="77777777" w:rsidR="00FE6956" w:rsidRPr="000608CC" w:rsidRDefault="00FE6956" w:rsidP="000608CC">
            <w:pPr>
              <w:spacing w:after="0" w:line="240" w:lineRule="auto"/>
              <w:rPr>
                <w:color w:val="404040"/>
              </w:rPr>
            </w:pPr>
            <w:r w:rsidRPr="000608CC">
              <w:rPr>
                <w:color w:val="404040"/>
              </w:rPr>
              <w:t>Canola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0FE4" w14:textId="77777777" w:rsidR="00FE6956" w:rsidRPr="000608CC" w:rsidRDefault="00FE6956" w:rsidP="000608CC">
            <w:pPr>
              <w:spacing w:after="0" w:line="240" w:lineRule="auto"/>
              <w:jc w:val="right"/>
              <w:rPr>
                <w:color w:val="404040"/>
              </w:rPr>
            </w:pPr>
            <w:r w:rsidRPr="000608CC">
              <w:rPr>
                <w:color w:val="404040"/>
              </w:rPr>
              <w:t>3.7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9E2F" w14:textId="77777777" w:rsidR="00FE6956" w:rsidRPr="000608CC" w:rsidRDefault="00CB44EF" w:rsidP="000608CC">
            <w:pPr>
              <w:spacing w:after="0" w:line="240" w:lineRule="auto"/>
              <w:jc w:val="right"/>
              <w:rPr>
                <w:color w:val="404040"/>
              </w:rPr>
            </w:pPr>
            <w:r>
              <w:rPr>
                <w:color w:val="404040"/>
              </w:rPr>
              <w:t xml:space="preserve"> </w:t>
            </w:r>
            <w:r w:rsidR="00AC4821" w:rsidRPr="000608CC">
              <w:rPr>
                <w:color w:val="404040"/>
              </w:rPr>
              <w:t>23.5(a)</w:t>
            </w:r>
            <w:r w:rsidRPr="003858CB">
              <w:rPr>
                <w:rFonts w:eastAsia="Times New Roman" w:cs="Arial"/>
                <w:color w:val="404040"/>
                <w:szCs w:val="20"/>
                <w:lang w:eastAsia="en-AU"/>
              </w:rPr>
              <w:t xml:space="preserve"> ^</w:t>
            </w:r>
          </w:p>
        </w:tc>
      </w:tr>
      <w:tr w:rsidR="00AD2D56" w:rsidRPr="00EB22F1" w14:paraId="34547F98" w14:textId="77777777" w:rsidTr="00680260">
        <w:trPr>
          <w:trHeight w:val="30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3CD0" w14:textId="77777777" w:rsidR="00FE6956" w:rsidRPr="000608CC" w:rsidRDefault="00FE6956" w:rsidP="000608CC">
            <w:pPr>
              <w:spacing w:after="0" w:line="240" w:lineRule="auto"/>
              <w:rPr>
                <w:color w:val="404040"/>
              </w:rPr>
            </w:pPr>
            <w:proofErr w:type="spellStart"/>
            <w:r w:rsidRPr="000608CC">
              <w:rPr>
                <w:color w:val="404040"/>
              </w:rPr>
              <w:t>Faba</w:t>
            </w:r>
            <w:proofErr w:type="spellEnd"/>
            <w:r w:rsidRPr="000608CC">
              <w:rPr>
                <w:color w:val="404040"/>
              </w:rPr>
              <w:t xml:space="preserve"> bean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9C0E" w14:textId="77777777" w:rsidR="00FE6956" w:rsidRPr="000608CC" w:rsidRDefault="00FE6956" w:rsidP="000608CC">
            <w:pPr>
              <w:spacing w:after="0" w:line="240" w:lineRule="auto"/>
              <w:jc w:val="right"/>
              <w:rPr>
                <w:color w:val="404040"/>
              </w:rPr>
            </w:pPr>
            <w:r w:rsidRPr="000608CC">
              <w:rPr>
                <w:color w:val="404040"/>
              </w:rPr>
              <w:t>4.3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8A2B" w14:textId="77777777" w:rsidR="00FE6956" w:rsidRPr="000608CC" w:rsidRDefault="00AC4821" w:rsidP="000608CC">
            <w:pPr>
              <w:spacing w:after="0" w:line="240" w:lineRule="auto"/>
              <w:jc w:val="right"/>
              <w:rPr>
                <w:color w:val="404040"/>
              </w:rPr>
            </w:pPr>
            <w:r w:rsidRPr="000608CC">
              <w:rPr>
                <w:color w:val="404040"/>
              </w:rPr>
              <w:t>29.5(b)</w:t>
            </w:r>
          </w:p>
        </w:tc>
      </w:tr>
      <w:tr w:rsidR="00FE6956" w:rsidRPr="00EB22F1" w14:paraId="0F17BD7C" w14:textId="77777777" w:rsidTr="00680260">
        <w:trPr>
          <w:trHeight w:val="308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AFBA3E" w14:textId="77777777" w:rsidR="00FE6956" w:rsidRPr="000608CC" w:rsidRDefault="00FE6956" w:rsidP="000608CC">
            <w:pPr>
              <w:spacing w:after="0" w:line="240" w:lineRule="auto"/>
              <w:rPr>
                <w:color w:val="404040"/>
              </w:rPr>
            </w:pPr>
            <w:r w:rsidRPr="000608CC">
              <w:rPr>
                <w:color w:val="404040"/>
              </w:rPr>
              <w:t>Lupin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B60F" w14:textId="77777777" w:rsidR="00FE6956" w:rsidRPr="000608CC" w:rsidRDefault="00FE6956" w:rsidP="000608CC">
            <w:pPr>
              <w:spacing w:after="0" w:line="240" w:lineRule="auto"/>
              <w:jc w:val="right"/>
              <w:rPr>
                <w:color w:val="404040"/>
              </w:rPr>
            </w:pPr>
            <w:r w:rsidRPr="000608CC">
              <w:rPr>
                <w:color w:val="404040"/>
              </w:rPr>
              <w:t>1.5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5FFA" w14:textId="77777777" w:rsidR="00FE6956" w:rsidRPr="000608CC" w:rsidRDefault="00FE6956" w:rsidP="00CB44EF">
            <w:pPr>
              <w:spacing w:after="0" w:line="240" w:lineRule="auto"/>
              <w:jc w:val="right"/>
              <w:rPr>
                <w:color w:val="404040"/>
              </w:rPr>
            </w:pPr>
            <w:r w:rsidRPr="000608CC">
              <w:rPr>
                <w:color w:val="404040"/>
              </w:rPr>
              <w:t>21.3(a)</w:t>
            </w:r>
          </w:p>
        </w:tc>
      </w:tr>
      <w:tr w:rsidR="00AD2D56" w:rsidRPr="00EB22F1" w14:paraId="00981574" w14:textId="77777777" w:rsidTr="00680260">
        <w:trPr>
          <w:trHeight w:val="308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CF259" w14:textId="77777777" w:rsidR="00FE6956" w:rsidRPr="000608CC" w:rsidRDefault="00FE6956" w:rsidP="000608CC">
            <w:pPr>
              <w:spacing w:after="0" w:line="240" w:lineRule="auto"/>
              <w:rPr>
                <w:color w:val="404040"/>
              </w:rPr>
            </w:pPr>
            <w:r w:rsidRPr="000608CC">
              <w:rPr>
                <w:color w:val="404040"/>
              </w:rPr>
              <w:t>Serradella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A11ED" w14:textId="77777777" w:rsidR="00FE6956" w:rsidRPr="000608CC" w:rsidRDefault="00FE6956" w:rsidP="000608CC">
            <w:pPr>
              <w:spacing w:after="0" w:line="240" w:lineRule="auto"/>
              <w:jc w:val="right"/>
              <w:rPr>
                <w:color w:val="404040"/>
              </w:rPr>
            </w:pPr>
            <w:r w:rsidRPr="000608CC">
              <w:rPr>
                <w:color w:val="404040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EA9E2" w14:textId="77777777" w:rsidR="00FE6956" w:rsidRPr="000608CC" w:rsidRDefault="00AC4821" w:rsidP="000608CC">
            <w:pPr>
              <w:spacing w:after="0" w:line="240" w:lineRule="auto"/>
              <w:jc w:val="right"/>
              <w:rPr>
                <w:color w:val="404040"/>
              </w:rPr>
            </w:pPr>
            <w:r w:rsidRPr="000608CC">
              <w:rPr>
                <w:color w:val="404040"/>
              </w:rPr>
              <w:t>33.3(b)</w:t>
            </w:r>
          </w:p>
        </w:tc>
      </w:tr>
    </w:tbl>
    <w:p w14:paraId="657BA827" w14:textId="77777777" w:rsidR="003858CB" w:rsidRPr="00171600" w:rsidRDefault="00CB44EF" w:rsidP="00F26832">
      <w:pPr>
        <w:rPr>
          <w:sz w:val="16"/>
          <w:szCs w:val="16"/>
        </w:rPr>
        <w:sectPr w:rsidR="003858CB" w:rsidRPr="00171600" w:rsidSect="003858CB">
          <w:headerReference w:type="default" r:id="rId12"/>
          <w:footerReference w:type="default" r:id="rId13"/>
          <w:footerReference w:type="first" r:id="rId14"/>
          <w:type w:val="continuous"/>
          <w:pgSz w:w="11906" w:h="16838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  <w:r w:rsidRPr="00CB44EF">
        <w:rPr>
          <w:sz w:val="16"/>
          <w:szCs w:val="16"/>
        </w:rPr>
        <w:t>^ Letters represent a significant (p&lt;0.10) difference</w:t>
      </w:r>
      <w:r w:rsidR="00AB244D">
        <w:rPr>
          <w:sz w:val="16"/>
          <w:szCs w:val="16"/>
        </w:rPr>
        <w:t>.</w:t>
      </w:r>
      <w:r w:rsidRPr="00CB44EF">
        <w:rPr>
          <w:sz w:val="16"/>
          <w:szCs w:val="16"/>
        </w:rPr>
        <w:t xml:space="preserve"> </w:t>
      </w:r>
      <w:r w:rsidR="00351C84">
        <w:rPr>
          <w:sz w:val="16"/>
          <w:szCs w:val="16"/>
        </w:rPr>
        <w:br/>
        <w:t>*</w:t>
      </w:r>
      <w:r w:rsidR="00351C84" w:rsidRPr="00171600">
        <w:rPr>
          <w:sz w:val="16"/>
          <w:szCs w:val="16"/>
        </w:rPr>
        <w:t xml:space="preserve">Statistical analyses not completed on </w:t>
      </w:r>
      <w:r w:rsidR="00351C84">
        <w:rPr>
          <w:sz w:val="16"/>
          <w:szCs w:val="16"/>
        </w:rPr>
        <w:t>a</w:t>
      </w:r>
      <w:r w:rsidR="00351C84" w:rsidRPr="00171600">
        <w:rPr>
          <w:sz w:val="16"/>
          <w:szCs w:val="16"/>
        </w:rPr>
        <w:t>mmonium N as some plots were below detection level</w:t>
      </w:r>
      <w:r w:rsidR="00C5327E">
        <w:rPr>
          <w:sz w:val="16"/>
          <w:szCs w:val="16"/>
        </w:rPr>
        <w:t>s</w:t>
      </w:r>
    </w:p>
    <w:p w14:paraId="53EED608" w14:textId="77777777" w:rsidR="00093CDF" w:rsidRPr="00897B1A" w:rsidRDefault="00093CDF" w:rsidP="00093CDF">
      <w:pPr>
        <w:pStyle w:val="Heading3"/>
      </w:pPr>
      <w:r>
        <w:t xml:space="preserve">Grain </w:t>
      </w:r>
      <w:r w:rsidR="00351C84">
        <w:t>y</w:t>
      </w:r>
      <w:r>
        <w:t>ields</w:t>
      </w:r>
    </w:p>
    <w:p w14:paraId="0C95CB7F" w14:textId="77777777" w:rsidR="00093CDF" w:rsidRDefault="00BB6AEA" w:rsidP="00093CDF">
      <w:r>
        <w:t>At Grass Valley</w:t>
      </w:r>
      <w:r w:rsidR="00DD27DD">
        <w:t xml:space="preserve"> in 2019</w:t>
      </w:r>
      <w:r>
        <w:t xml:space="preserve">, the highest </w:t>
      </w:r>
      <w:r w:rsidR="00351C84">
        <w:t xml:space="preserve">wheat </w:t>
      </w:r>
      <w:r>
        <w:t xml:space="preserve">yields were </w:t>
      </w:r>
      <w:r w:rsidR="00351C84">
        <w:t>from</w:t>
      </w:r>
      <w:r>
        <w:t xml:space="preserve"> plots </w:t>
      </w:r>
      <w:r w:rsidR="002E5DF6">
        <w:t xml:space="preserve">that </w:t>
      </w:r>
      <w:r>
        <w:t>sown to serradella or kept fallow</w:t>
      </w:r>
      <w:r w:rsidR="002E5DF6">
        <w:t xml:space="preserve"> in 2018</w:t>
      </w:r>
      <w:r w:rsidR="00C32C57">
        <w:t xml:space="preserve"> (Figure </w:t>
      </w:r>
      <w:r w:rsidR="00947A15">
        <w:t>1</w:t>
      </w:r>
      <w:r w:rsidR="00C32C57">
        <w:t>)</w:t>
      </w:r>
      <w:r>
        <w:t>. These yield</w:t>
      </w:r>
      <w:r w:rsidR="00A36018">
        <w:t>s</w:t>
      </w:r>
      <w:r>
        <w:t xml:space="preserve"> were </w:t>
      </w:r>
      <w:r w:rsidR="002E5DF6">
        <w:t xml:space="preserve">79% and 98% higher </w:t>
      </w:r>
      <w:r w:rsidR="00D60D50">
        <w:t xml:space="preserve">respectively </w:t>
      </w:r>
      <w:r w:rsidR="002E5DF6">
        <w:t xml:space="preserve">than the 2018 barley plots. </w:t>
      </w:r>
      <w:r w:rsidR="008B09C2">
        <w:t xml:space="preserve">Wheat </w:t>
      </w:r>
      <w:r w:rsidR="002E5DF6">
        <w:t xml:space="preserve">grain yields </w:t>
      </w:r>
      <w:r w:rsidR="00D60D50">
        <w:t>in 2019</w:t>
      </w:r>
      <w:r w:rsidR="002E5DF6">
        <w:t xml:space="preserve"> </w:t>
      </w:r>
      <w:r w:rsidR="008B09C2">
        <w:t xml:space="preserve">were </w:t>
      </w:r>
      <w:r w:rsidR="002E5DF6">
        <w:t>significantly higher</w:t>
      </w:r>
      <w:r w:rsidR="008B09C2">
        <w:t xml:space="preserve"> in all of the legume treatments </w:t>
      </w:r>
      <w:r w:rsidR="002E5DF6">
        <w:t xml:space="preserve">than the cereal </w:t>
      </w:r>
      <w:r w:rsidR="005E4842">
        <w:t>treatments</w:t>
      </w:r>
      <w:r w:rsidR="00D60D50">
        <w:t xml:space="preserve"> and yield</w:t>
      </w:r>
      <w:r w:rsidR="005E4842">
        <w:t xml:space="preserve"> on</w:t>
      </w:r>
      <w:r w:rsidR="00D60D50">
        <w:t xml:space="preserve"> the</w:t>
      </w:r>
      <w:r w:rsidR="008B09C2">
        <w:t xml:space="preserve"> </w:t>
      </w:r>
      <w:r w:rsidR="00D60D50">
        <w:t xml:space="preserve">canola </w:t>
      </w:r>
      <w:r w:rsidR="005E4842">
        <w:t>treatment</w:t>
      </w:r>
      <w:r w:rsidR="00D60D50">
        <w:t xml:space="preserve"> w</w:t>
      </w:r>
      <w:r w:rsidR="008B09C2">
        <w:t>as</w:t>
      </w:r>
      <w:r w:rsidR="00D60D50">
        <w:t xml:space="preserve"> higher than </w:t>
      </w:r>
      <w:r w:rsidR="005E4842">
        <w:t xml:space="preserve">on </w:t>
      </w:r>
      <w:r w:rsidR="00D60D50">
        <w:t xml:space="preserve">the 2018 barley and Calingiri wheat </w:t>
      </w:r>
      <w:r w:rsidR="005E4842">
        <w:t>treatments</w:t>
      </w:r>
      <w:r w:rsidR="00D60D50">
        <w:t>.</w:t>
      </w:r>
    </w:p>
    <w:p w14:paraId="69AC91C3" w14:textId="77777777" w:rsidR="005574DB" w:rsidRDefault="005574DB" w:rsidP="00093CDF">
      <w:r>
        <w:t>Regression analys</w:t>
      </w:r>
      <w:r w:rsidR="005E4842">
        <w:t xml:space="preserve">es demonstrated that low levels of </w:t>
      </w:r>
      <w:r w:rsidRPr="005574DB">
        <w:rPr>
          <w:i/>
        </w:rPr>
        <w:t xml:space="preserve">P. </w:t>
      </w:r>
      <w:proofErr w:type="spellStart"/>
      <w:r w:rsidRPr="005574DB">
        <w:rPr>
          <w:i/>
        </w:rPr>
        <w:t>quasitereoides</w:t>
      </w:r>
      <w:proofErr w:type="spellEnd"/>
      <w:r>
        <w:t xml:space="preserve"> (</w:t>
      </w:r>
      <w:r w:rsidR="00AA11CD">
        <w:t>p</w:t>
      </w:r>
      <w:r>
        <w:t xml:space="preserve">=0.02) </w:t>
      </w:r>
      <w:r w:rsidR="005E4842">
        <w:t>or</w:t>
      </w:r>
      <w:r>
        <w:t xml:space="preserve"> high nitrate levels (</w:t>
      </w:r>
      <w:r w:rsidR="00AA11CD">
        <w:t>p</w:t>
      </w:r>
      <w:r>
        <w:t>=0.001)</w:t>
      </w:r>
      <w:r w:rsidR="005E4842">
        <w:t xml:space="preserve"> at the start of the season </w:t>
      </w:r>
      <w:r w:rsidR="00351C84">
        <w:t xml:space="preserve">were </w:t>
      </w:r>
      <w:r w:rsidR="005E4842">
        <w:t xml:space="preserve">correlated </w:t>
      </w:r>
      <w:r w:rsidR="00351C84">
        <w:t>with the</w:t>
      </w:r>
      <w:r w:rsidR="005E4842">
        <w:t xml:space="preserve"> higher yields. However, the levels of </w:t>
      </w:r>
      <w:r w:rsidRPr="005574DB">
        <w:rPr>
          <w:i/>
        </w:rPr>
        <w:t>P. neglectus</w:t>
      </w:r>
      <w:r>
        <w:t xml:space="preserve"> and </w:t>
      </w:r>
      <w:r w:rsidRPr="005574DB">
        <w:rPr>
          <w:i/>
        </w:rPr>
        <w:t xml:space="preserve">R. </w:t>
      </w:r>
      <w:proofErr w:type="spellStart"/>
      <w:r w:rsidRPr="005574DB">
        <w:rPr>
          <w:i/>
        </w:rPr>
        <w:t>solani</w:t>
      </w:r>
      <w:proofErr w:type="spellEnd"/>
      <w:r>
        <w:t xml:space="preserve"> at the beginning of the season</w:t>
      </w:r>
      <w:r w:rsidR="005E4842">
        <w:t xml:space="preserve"> did not correlate with grain yields</w:t>
      </w:r>
      <w:r>
        <w:t>.</w:t>
      </w:r>
    </w:p>
    <w:p w14:paraId="1C60E2BF" w14:textId="77777777" w:rsidR="00093CDF" w:rsidRDefault="00D60D50" w:rsidP="00093CDF">
      <w:r>
        <w:rPr>
          <w:noProof/>
          <w:lang w:eastAsia="en-AU"/>
        </w:rPr>
        <w:drawing>
          <wp:inline distT="0" distB="0" distL="0" distR="0" wp14:anchorId="53CD02FD" wp14:editId="7AF8840A">
            <wp:extent cx="5935980" cy="2819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BE78B5C" w14:textId="77777777" w:rsidR="000F483B" w:rsidRDefault="000F483B" w:rsidP="00093CDF">
      <w:r w:rsidRPr="00171600">
        <w:rPr>
          <w:b/>
          <w:sz w:val="22"/>
        </w:rPr>
        <w:t xml:space="preserve">Figure </w:t>
      </w:r>
      <w:r w:rsidR="00947A15" w:rsidRPr="00171600">
        <w:rPr>
          <w:b/>
          <w:sz w:val="22"/>
        </w:rPr>
        <w:t>1</w:t>
      </w:r>
      <w:r w:rsidR="00351C84">
        <w:rPr>
          <w:b/>
          <w:sz w:val="22"/>
        </w:rPr>
        <w:t>.</w:t>
      </w:r>
      <w:r w:rsidRPr="00171600">
        <w:rPr>
          <w:b/>
          <w:sz w:val="22"/>
        </w:rPr>
        <w:t xml:space="preserve">  </w:t>
      </w:r>
      <w:r w:rsidR="00351C84" w:rsidRPr="00674A98">
        <w:rPr>
          <w:b/>
          <w:sz w:val="22"/>
        </w:rPr>
        <w:t xml:space="preserve">2019 </w:t>
      </w:r>
      <w:r w:rsidR="00351C84">
        <w:rPr>
          <w:b/>
          <w:sz w:val="22"/>
        </w:rPr>
        <w:t>g</w:t>
      </w:r>
      <w:r w:rsidRPr="00171600">
        <w:rPr>
          <w:b/>
          <w:sz w:val="22"/>
        </w:rPr>
        <w:t xml:space="preserve">rain yields of wheat (Chief CL) sown over the 2018 </w:t>
      </w:r>
      <w:r w:rsidR="002911AF" w:rsidRPr="00171600">
        <w:rPr>
          <w:b/>
          <w:sz w:val="22"/>
        </w:rPr>
        <w:t>break</w:t>
      </w:r>
      <w:r w:rsidR="00351C84">
        <w:rPr>
          <w:b/>
          <w:sz w:val="22"/>
        </w:rPr>
        <w:t>-</w:t>
      </w:r>
      <w:r w:rsidR="002911AF" w:rsidRPr="00171600">
        <w:rPr>
          <w:b/>
          <w:sz w:val="22"/>
        </w:rPr>
        <w:t>crop</w:t>
      </w:r>
      <w:r w:rsidRPr="00171600">
        <w:rPr>
          <w:b/>
          <w:sz w:val="22"/>
        </w:rPr>
        <w:t xml:space="preserve"> rotation trial at Grass Valley.</w:t>
      </w:r>
      <w:r>
        <w:t xml:space="preserve"> </w:t>
      </w:r>
      <w:r w:rsidR="00351C84">
        <w:br/>
      </w:r>
      <w:r w:rsidR="00640E22" w:rsidRPr="00171600">
        <w:rPr>
          <w:sz w:val="16"/>
          <w:szCs w:val="16"/>
        </w:rPr>
        <w:t>*</w:t>
      </w:r>
      <w:r w:rsidRPr="00351C84">
        <w:rPr>
          <w:sz w:val="16"/>
          <w:szCs w:val="16"/>
        </w:rPr>
        <w:t>Different letters above the columns represent a significant (</w:t>
      </w:r>
      <w:r w:rsidR="00EB22F1" w:rsidRPr="00351C84">
        <w:rPr>
          <w:sz w:val="16"/>
          <w:szCs w:val="16"/>
        </w:rPr>
        <w:t>p</w:t>
      </w:r>
      <w:r w:rsidRPr="00351C84">
        <w:rPr>
          <w:sz w:val="16"/>
          <w:szCs w:val="16"/>
        </w:rPr>
        <w:t>&lt;0.10) difference.</w:t>
      </w:r>
    </w:p>
    <w:p w14:paraId="0CDA1753" w14:textId="77777777" w:rsidR="00D60D50" w:rsidRDefault="00D60D50" w:rsidP="00093CDF">
      <w:r>
        <w:t xml:space="preserve">At Dumbleyung, the </w:t>
      </w:r>
      <w:r w:rsidR="005E4842">
        <w:t xml:space="preserve">2019 </w:t>
      </w:r>
      <w:r w:rsidR="00351C84">
        <w:t xml:space="preserve">wheat </w:t>
      </w:r>
      <w:r>
        <w:t xml:space="preserve">yields </w:t>
      </w:r>
      <w:r w:rsidR="000605E6">
        <w:t>on</w:t>
      </w:r>
      <w:r>
        <w:t xml:space="preserve"> the </w:t>
      </w:r>
      <w:r w:rsidR="005E4842">
        <w:t xml:space="preserve">2018 </w:t>
      </w:r>
      <w:r>
        <w:t xml:space="preserve">serradella </w:t>
      </w:r>
      <w:r w:rsidR="005E4842">
        <w:t>treat</w:t>
      </w:r>
      <w:r w:rsidR="00A31483">
        <w:t>men</w:t>
      </w:r>
      <w:r w:rsidR="005E4842">
        <w:t xml:space="preserve">t </w:t>
      </w:r>
      <w:r w:rsidR="00351C84">
        <w:t xml:space="preserve">were </w:t>
      </w:r>
      <w:r>
        <w:t xml:space="preserve">significantly lower </w:t>
      </w:r>
      <w:r w:rsidR="00B312FE">
        <w:t xml:space="preserve">by more than 1t/ha compared to </w:t>
      </w:r>
      <w:r>
        <w:t xml:space="preserve">the other </w:t>
      </w:r>
      <w:r w:rsidR="00366367">
        <w:t>three treatments</w:t>
      </w:r>
      <w:r w:rsidR="00C32C57">
        <w:t xml:space="preserve"> (Figure </w:t>
      </w:r>
      <w:r w:rsidR="002918D4">
        <w:t>2</w:t>
      </w:r>
      <w:r w:rsidR="00C32C57">
        <w:t>)</w:t>
      </w:r>
      <w:r w:rsidR="00DD27DD">
        <w:t xml:space="preserve"> due to herbicide carryover from 2018 when </w:t>
      </w:r>
      <w:r w:rsidR="00366367">
        <w:t xml:space="preserve">serradella </w:t>
      </w:r>
      <w:r>
        <w:t>plots were sprayed with Spinnaker® herbicide and only 282mm rain was received between 1 May 2018 and 1 May 2019. This did not meet the requirement for Spinnaker® of 400mm</w:t>
      </w:r>
      <w:r w:rsidR="00C32C57">
        <w:t xml:space="preserve"> rainfall before planting to cereals</w:t>
      </w:r>
      <w:r>
        <w:t xml:space="preserve">. </w:t>
      </w:r>
      <w:r w:rsidR="00C32C57">
        <w:t xml:space="preserve">There was no significant difference in yield in the </w:t>
      </w:r>
      <w:r w:rsidR="00A31483">
        <w:t>treatments</w:t>
      </w:r>
      <w:r w:rsidR="00C32C57">
        <w:t xml:space="preserve"> sown to canola and the pulse</w:t>
      </w:r>
      <w:r w:rsidR="00A31483">
        <w:t xml:space="preserve">s </w:t>
      </w:r>
      <w:r w:rsidR="00C32C57">
        <w:t>in 2018.</w:t>
      </w:r>
    </w:p>
    <w:p w14:paraId="25BD88E5" w14:textId="77777777" w:rsidR="000F483B" w:rsidRDefault="004437CA" w:rsidP="00093CDF">
      <w:r>
        <w:rPr>
          <w:noProof/>
          <w:lang w:eastAsia="en-AU"/>
        </w:rPr>
        <w:drawing>
          <wp:inline distT="0" distB="0" distL="0" distR="0" wp14:anchorId="2AEE758F" wp14:editId="1920C798">
            <wp:extent cx="4724400" cy="21336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3398671" w14:textId="77777777" w:rsidR="00CB44EF" w:rsidRPr="00C5327E" w:rsidRDefault="00281495" w:rsidP="00FB4ED3">
      <w:pPr>
        <w:rPr>
          <w:sz w:val="16"/>
          <w:szCs w:val="16"/>
        </w:rPr>
      </w:pPr>
      <w:r w:rsidRPr="00171600">
        <w:rPr>
          <w:b/>
          <w:sz w:val="22"/>
        </w:rPr>
        <w:t xml:space="preserve">Figure </w:t>
      </w:r>
      <w:r w:rsidR="00947A15" w:rsidRPr="00171600">
        <w:rPr>
          <w:b/>
          <w:sz w:val="22"/>
        </w:rPr>
        <w:t>2</w:t>
      </w:r>
      <w:r w:rsidRPr="00171600">
        <w:rPr>
          <w:b/>
          <w:sz w:val="22"/>
        </w:rPr>
        <w:t xml:space="preserve">:  </w:t>
      </w:r>
      <w:r w:rsidR="00270360" w:rsidRPr="00690E63">
        <w:rPr>
          <w:b/>
          <w:sz w:val="22"/>
        </w:rPr>
        <w:t xml:space="preserve">2019 </w:t>
      </w:r>
      <w:r w:rsidR="00270360">
        <w:rPr>
          <w:b/>
          <w:sz w:val="22"/>
        </w:rPr>
        <w:t>g</w:t>
      </w:r>
      <w:r w:rsidRPr="00171600">
        <w:rPr>
          <w:b/>
          <w:sz w:val="22"/>
        </w:rPr>
        <w:t>rain yields of wheat (</w:t>
      </w:r>
      <w:proofErr w:type="spellStart"/>
      <w:r w:rsidR="004437CA" w:rsidRPr="00171600">
        <w:rPr>
          <w:b/>
          <w:sz w:val="22"/>
        </w:rPr>
        <w:t>Scepter</w:t>
      </w:r>
      <w:proofErr w:type="spellEnd"/>
      <w:r w:rsidRPr="00171600">
        <w:rPr>
          <w:b/>
          <w:sz w:val="22"/>
        </w:rPr>
        <w:t xml:space="preserve">) sown over the 2018 </w:t>
      </w:r>
      <w:r w:rsidR="002911AF" w:rsidRPr="00171600">
        <w:rPr>
          <w:b/>
          <w:sz w:val="22"/>
        </w:rPr>
        <w:t>break</w:t>
      </w:r>
      <w:r w:rsidR="00270360">
        <w:rPr>
          <w:b/>
          <w:sz w:val="22"/>
        </w:rPr>
        <w:t>-</w:t>
      </w:r>
      <w:r w:rsidR="002911AF" w:rsidRPr="00171600">
        <w:rPr>
          <w:b/>
          <w:sz w:val="22"/>
        </w:rPr>
        <w:t>crop</w:t>
      </w:r>
      <w:r w:rsidRPr="00171600">
        <w:rPr>
          <w:b/>
          <w:sz w:val="22"/>
        </w:rPr>
        <w:t xml:space="preserve"> trial at </w:t>
      </w:r>
      <w:r w:rsidR="004437CA" w:rsidRPr="00171600">
        <w:rPr>
          <w:b/>
          <w:sz w:val="22"/>
        </w:rPr>
        <w:t>Dumbleyung</w:t>
      </w:r>
      <w:r w:rsidRPr="00171600">
        <w:rPr>
          <w:b/>
          <w:sz w:val="22"/>
        </w:rPr>
        <w:t>.</w:t>
      </w:r>
      <w:r>
        <w:t xml:space="preserve"> </w:t>
      </w:r>
      <w:r w:rsidR="00270360">
        <w:t>*</w:t>
      </w:r>
      <w:r w:rsidRPr="00CB44EF">
        <w:rPr>
          <w:sz w:val="16"/>
          <w:szCs w:val="16"/>
        </w:rPr>
        <w:t>Different letters above the columns represent a significant (</w:t>
      </w:r>
      <w:r w:rsidR="00EB22F1" w:rsidRPr="00CB44EF">
        <w:rPr>
          <w:sz w:val="16"/>
          <w:szCs w:val="16"/>
        </w:rPr>
        <w:t>p</w:t>
      </w:r>
      <w:r w:rsidRPr="00CB44EF">
        <w:rPr>
          <w:sz w:val="16"/>
          <w:szCs w:val="16"/>
        </w:rPr>
        <w:t>&lt;0.10) difference.</w:t>
      </w:r>
    </w:p>
    <w:p w14:paraId="00E7814F" w14:textId="77777777" w:rsidR="00155344" w:rsidRDefault="00270360" w:rsidP="00FB4ED3">
      <w:r>
        <w:t>At</w:t>
      </w:r>
      <w:r w:rsidR="00155344" w:rsidRPr="00B82941">
        <w:t xml:space="preserve"> Calingiri, yields were low </w:t>
      </w:r>
      <w:r w:rsidR="00B82941" w:rsidRPr="00B82941">
        <w:t xml:space="preserve">for all crops </w:t>
      </w:r>
      <w:r w:rsidR="00155344" w:rsidRPr="00B82941">
        <w:t>in 2019</w:t>
      </w:r>
      <w:r w:rsidR="00EB3FD2" w:rsidRPr="00B82941">
        <w:t xml:space="preserve"> (Figure 3)</w:t>
      </w:r>
      <w:r w:rsidR="00155344" w:rsidRPr="00B82941">
        <w:t xml:space="preserve"> reflecti</w:t>
      </w:r>
      <w:r w:rsidR="00E44AD5" w:rsidRPr="00B82941">
        <w:t>ng</w:t>
      </w:r>
      <w:r w:rsidR="00155344" w:rsidRPr="00B82941">
        <w:t xml:space="preserve"> the </w:t>
      </w:r>
      <w:r w:rsidR="00EB3FD2" w:rsidRPr="00B82941">
        <w:t>disappointing yields through</w:t>
      </w:r>
      <w:r>
        <w:t>out</w:t>
      </w:r>
      <w:r w:rsidR="00EB3FD2" w:rsidRPr="00B82941">
        <w:t xml:space="preserve"> most of the </w:t>
      </w:r>
      <w:r>
        <w:t>S</w:t>
      </w:r>
      <w:r w:rsidR="00EB3FD2" w:rsidRPr="00B82941">
        <w:t>tate</w:t>
      </w:r>
      <w:r w:rsidR="00680260" w:rsidRPr="00B82941">
        <w:t xml:space="preserve"> (GIWA, 2019</w:t>
      </w:r>
      <w:r w:rsidR="003F168A">
        <w:t xml:space="preserve">; Loi </w:t>
      </w:r>
      <w:r w:rsidR="003F168A" w:rsidRPr="00171600">
        <w:t xml:space="preserve">et al </w:t>
      </w:r>
      <w:r w:rsidR="003F168A">
        <w:t>2005</w:t>
      </w:r>
      <w:r w:rsidR="00680260" w:rsidRPr="00B82941">
        <w:t>)</w:t>
      </w:r>
      <w:r w:rsidR="00EB3FD2" w:rsidRPr="00B82941">
        <w:t xml:space="preserve">. </w:t>
      </w:r>
      <w:r w:rsidR="00FB4ED3" w:rsidRPr="00B82941">
        <w:t xml:space="preserve">Vetch and sub-clover were not harvested for grain yield. Canola and chickpea yields were particularly poor which </w:t>
      </w:r>
      <w:r>
        <w:t>could have</w:t>
      </w:r>
      <w:r w:rsidR="00FB4ED3" w:rsidRPr="00B82941">
        <w:t xml:space="preserve"> be</w:t>
      </w:r>
      <w:r>
        <w:t>en</w:t>
      </w:r>
      <w:r w:rsidR="00FB4ED3" w:rsidRPr="00B82941">
        <w:t xml:space="preserve"> due to the late sowing (June) of the trial or</w:t>
      </w:r>
      <w:r>
        <w:t xml:space="preserve"> the</w:t>
      </w:r>
      <w:r w:rsidR="00FB4ED3" w:rsidRPr="00B82941">
        <w:t xml:space="preserve"> impacts </w:t>
      </w:r>
      <w:r w:rsidR="00554155" w:rsidRPr="00B82941">
        <w:t>of RLN infestation.</w:t>
      </w:r>
      <w:r w:rsidR="00554155">
        <w:t xml:space="preserve"> </w:t>
      </w:r>
    </w:p>
    <w:p w14:paraId="4C5868AC" w14:textId="77777777" w:rsidR="00155344" w:rsidRDefault="00FB4ED3">
      <w:pPr>
        <w:spacing w:after="160"/>
        <w:rPr>
          <w:rFonts w:eastAsiaTheme="majorEastAsia" w:cstheme="majorBidi"/>
          <w:color w:val="auto"/>
          <w:sz w:val="22"/>
          <w:szCs w:val="24"/>
        </w:rPr>
      </w:pPr>
      <w:r>
        <w:rPr>
          <w:noProof/>
          <w:lang w:eastAsia="en-AU"/>
        </w:rPr>
        <w:drawing>
          <wp:inline distT="0" distB="0" distL="0" distR="0" wp14:anchorId="1995C120" wp14:editId="211EB73A">
            <wp:extent cx="5730240" cy="2491740"/>
            <wp:effectExtent l="0" t="0" r="3810" b="381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6B4786E" w14:textId="77777777" w:rsidR="00554155" w:rsidRPr="00C5327E" w:rsidRDefault="00FB4ED3" w:rsidP="00C5327E">
      <w:pPr>
        <w:rPr>
          <w:b/>
          <w:sz w:val="22"/>
        </w:rPr>
      </w:pPr>
      <w:r w:rsidRPr="00171600">
        <w:rPr>
          <w:b/>
          <w:sz w:val="22"/>
        </w:rPr>
        <w:t>Figure 3</w:t>
      </w:r>
      <w:r w:rsidR="00270360" w:rsidRPr="00171600">
        <w:rPr>
          <w:b/>
          <w:sz w:val="22"/>
        </w:rPr>
        <w:t>.</w:t>
      </w:r>
      <w:r w:rsidRPr="00171600">
        <w:rPr>
          <w:b/>
          <w:sz w:val="22"/>
        </w:rPr>
        <w:t xml:space="preserve">  </w:t>
      </w:r>
      <w:r w:rsidR="00270360" w:rsidRPr="00171600">
        <w:rPr>
          <w:b/>
          <w:sz w:val="22"/>
        </w:rPr>
        <w:t xml:space="preserve">2019 </w:t>
      </w:r>
      <w:r w:rsidR="00270360" w:rsidRPr="002353B7">
        <w:rPr>
          <w:b/>
          <w:sz w:val="22"/>
        </w:rPr>
        <w:t>break</w:t>
      </w:r>
      <w:r w:rsidR="00270360">
        <w:rPr>
          <w:b/>
          <w:sz w:val="22"/>
        </w:rPr>
        <w:t>-</w:t>
      </w:r>
      <w:r w:rsidR="00270360" w:rsidRPr="002353B7">
        <w:rPr>
          <w:b/>
          <w:sz w:val="22"/>
        </w:rPr>
        <w:t xml:space="preserve">crop </w:t>
      </w:r>
      <w:r w:rsidR="00270360" w:rsidRPr="00171600">
        <w:rPr>
          <w:b/>
          <w:sz w:val="22"/>
        </w:rPr>
        <w:t>y</w:t>
      </w:r>
      <w:r w:rsidRPr="00171600">
        <w:rPr>
          <w:b/>
          <w:sz w:val="22"/>
        </w:rPr>
        <w:t>ields at Calingir</w:t>
      </w:r>
      <w:r w:rsidR="00270360" w:rsidRPr="00171600">
        <w:rPr>
          <w:b/>
          <w:sz w:val="22"/>
        </w:rPr>
        <w:t>i</w:t>
      </w:r>
      <w:r w:rsidRPr="00171600">
        <w:rPr>
          <w:b/>
          <w:sz w:val="22"/>
        </w:rPr>
        <w:t xml:space="preserve">. </w:t>
      </w:r>
    </w:p>
    <w:p w14:paraId="047D197D" w14:textId="77777777" w:rsidR="00093CDF" w:rsidRPr="00C25280" w:rsidRDefault="00FE0919" w:rsidP="00C25280">
      <w:pPr>
        <w:pStyle w:val="Heading3"/>
      </w:pPr>
      <w:r>
        <w:t xml:space="preserve">RLN and R. </w:t>
      </w:r>
      <w:proofErr w:type="spellStart"/>
      <w:r>
        <w:t>solani</w:t>
      </w:r>
      <w:proofErr w:type="spellEnd"/>
      <w:r>
        <w:t xml:space="preserve"> qPCR a</w:t>
      </w:r>
      <w:r w:rsidR="00093CDF" w:rsidRPr="00C25280">
        <w:t>nalyses</w:t>
      </w:r>
      <w:r w:rsidR="000A783D" w:rsidRPr="00C25280">
        <w:t xml:space="preserve"> in 2019</w:t>
      </w:r>
    </w:p>
    <w:p w14:paraId="4E4777E6" w14:textId="734B85E9" w:rsidR="00F81D28" w:rsidRDefault="005A2907" w:rsidP="00897B1A">
      <w:pPr>
        <w:rPr>
          <w:u w:val="single"/>
        </w:rPr>
      </w:pPr>
      <w:r w:rsidRPr="00B82941">
        <w:t xml:space="preserve">Visual symptoms of RLN and </w:t>
      </w:r>
      <w:bookmarkStart w:id="0" w:name="_GoBack"/>
      <w:r w:rsidR="00724EAA">
        <w:t>R</w:t>
      </w:r>
      <w:bookmarkEnd w:id="0"/>
      <w:r w:rsidRPr="00B82941">
        <w:t xml:space="preserve">hizoctonia </w:t>
      </w:r>
      <w:r w:rsidR="00B82941" w:rsidRPr="00B82941">
        <w:t xml:space="preserve">in plots </w:t>
      </w:r>
      <w:r w:rsidRPr="00B82941">
        <w:t xml:space="preserve">were obvious in cereals at all three sites during the 2019 season. </w:t>
      </w:r>
      <w:r w:rsidR="000F2565" w:rsidRPr="00B82941">
        <w:t>Symptoms</w:t>
      </w:r>
      <w:r w:rsidR="00554155" w:rsidRPr="00B82941">
        <w:t xml:space="preserve"> included chlorotic plants, stunting and patching.</w:t>
      </w:r>
      <w:r w:rsidR="00554155">
        <w:t xml:space="preserve"> </w:t>
      </w:r>
      <w:r w:rsidR="000A6A53">
        <w:rPr>
          <w:u w:val="single"/>
        </w:rPr>
        <w:t xml:space="preserve"> </w:t>
      </w:r>
    </w:p>
    <w:p w14:paraId="26CF81D5" w14:textId="77777777" w:rsidR="008C6588" w:rsidRPr="00EE152D" w:rsidRDefault="00641841" w:rsidP="00897B1A">
      <w:pPr>
        <w:rPr>
          <w:u w:val="single"/>
        </w:rPr>
      </w:pPr>
      <w:r w:rsidRPr="00EE152D">
        <w:rPr>
          <w:u w:val="single"/>
        </w:rPr>
        <w:t>Grass Valley</w:t>
      </w:r>
    </w:p>
    <w:p w14:paraId="01B4829A" w14:textId="77777777" w:rsidR="000D4E39" w:rsidRDefault="000D4E39" w:rsidP="00FB1B22">
      <w:r>
        <w:t xml:space="preserve">At the </w:t>
      </w:r>
      <w:r w:rsidR="00270360">
        <w:t xml:space="preserve">start </w:t>
      </w:r>
      <w:r>
        <w:t xml:space="preserve">of the growing season in 2019, the root lesion nematode numbers were lowest in the plots sown to lupin and field pea or fallow in 2018 (Table </w:t>
      </w:r>
      <w:r w:rsidR="00CB44EF">
        <w:t>5</w:t>
      </w:r>
      <w:r>
        <w:t xml:space="preserve">). At harvest, the lowest amount of </w:t>
      </w:r>
      <w:r w:rsidRPr="004A224D">
        <w:rPr>
          <w:i/>
        </w:rPr>
        <w:t xml:space="preserve">P. </w:t>
      </w:r>
      <w:proofErr w:type="spellStart"/>
      <w:r w:rsidRPr="004A224D">
        <w:rPr>
          <w:i/>
        </w:rPr>
        <w:t>quasitereoides</w:t>
      </w:r>
      <w:proofErr w:type="spellEnd"/>
      <w:r>
        <w:t xml:space="preserve"> was in the plots sown to serradella, </w:t>
      </w:r>
      <w:proofErr w:type="spellStart"/>
      <w:r>
        <w:t>subclover</w:t>
      </w:r>
      <w:proofErr w:type="spellEnd"/>
      <w:r>
        <w:t xml:space="preserve"> and lupin in 2018 and the highest </w:t>
      </w:r>
      <w:r w:rsidR="00FB1B22">
        <w:t>amount</w:t>
      </w:r>
      <w:r>
        <w:t xml:space="preserve"> was in the</w:t>
      </w:r>
      <w:r w:rsidR="00BE4C49">
        <w:t xml:space="preserve"> 2018 canola plots. </w:t>
      </w:r>
      <w:r w:rsidR="008C1100">
        <w:t xml:space="preserve">At the end of the season, there was no significant difference in the final numbers of </w:t>
      </w:r>
      <w:r w:rsidR="008C1100" w:rsidRPr="00AE781C">
        <w:rPr>
          <w:i/>
        </w:rPr>
        <w:t>P. neglectus</w:t>
      </w:r>
      <w:r w:rsidR="008C1100">
        <w:rPr>
          <w:i/>
        </w:rPr>
        <w:t xml:space="preserve">. </w:t>
      </w:r>
    </w:p>
    <w:p w14:paraId="05030698" w14:textId="77777777" w:rsidR="00BE4C49" w:rsidRPr="00322F38" w:rsidRDefault="004A224D" w:rsidP="00322F38">
      <w:r>
        <w:t>There was no</w:t>
      </w:r>
      <w:r w:rsidR="00090F23">
        <w:t xml:space="preserve"> significant</w:t>
      </w:r>
      <w:r>
        <w:t xml:space="preserve"> difference in the levels of </w:t>
      </w:r>
      <w:r w:rsidRPr="00AE781C">
        <w:rPr>
          <w:i/>
        </w:rPr>
        <w:t xml:space="preserve">R. </w:t>
      </w:r>
      <w:proofErr w:type="spellStart"/>
      <w:r w:rsidRPr="00AE781C">
        <w:rPr>
          <w:i/>
        </w:rPr>
        <w:t>solani</w:t>
      </w:r>
      <w:proofErr w:type="spellEnd"/>
      <w:r>
        <w:t xml:space="preserve"> between any of the 2018 treatments at the start of the season</w:t>
      </w:r>
      <w:r w:rsidR="00547417">
        <w:t xml:space="preserve"> in 2019</w:t>
      </w:r>
      <w:r w:rsidR="00522FDB">
        <w:t xml:space="preserve"> (Table </w:t>
      </w:r>
      <w:r w:rsidR="00CB44EF">
        <w:t>5</w:t>
      </w:r>
      <w:r w:rsidR="00522FDB">
        <w:t>)</w:t>
      </w:r>
      <w:r w:rsidR="001B057B">
        <w:t xml:space="preserve">. </w:t>
      </w:r>
      <w:r w:rsidR="00090F23">
        <w:t xml:space="preserve">However, at harvest, levels of </w:t>
      </w:r>
      <w:r w:rsidR="00090F23" w:rsidRPr="001E1BC9">
        <w:rPr>
          <w:i/>
        </w:rPr>
        <w:t xml:space="preserve">R. </w:t>
      </w:r>
      <w:proofErr w:type="spellStart"/>
      <w:r w:rsidR="00090F23" w:rsidRPr="001E1BC9">
        <w:rPr>
          <w:i/>
        </w:rPr>
        <w:t>solani</w:t>
      </w:r>
      <w:proofErr w:type="spellEnd"/>
      <w:r w:rsidR="00090F23">
        <w:t xml:space="preserve"> were significantly lower in the 2018 lupin plots compared with the 2018</w:t>
      </w:r>
      <w:r w:rsidR="00E7612C">
        <w:t xml:space="preserve"> chickpea, canola,</w:t>
      </w:r>
      <w:r w:rsidR="001E1BC9">
        <w:t xml:space="preserve"> </w:t>
      </w:r>
      <w:r w:rsidR="00090F23">
        <w:t>fallow and c</w:t>
      </w:r>
      <w:r w:rsidR="00E7612C">
        <w:t xml:space="preserve">ereal </w:t>
      </w:r>
      <w:r w:rsidR="00C25280">
        <w:t xml:space="preserve">plots. </w:t>
      </w:r>
      <w:r w:rsidR="00322F38">
        <w:t>Serradella plots had variable levels</w:t>
      </w:r>
      <w:r w:rsidR="00270360">
        <w:t xml:space="preserve"> of</w:t>
      </w:r>
      <w:r w:rsidR="00322F38">
        <w:t xml:space="preserve"> </w:t>
      </w:r>
      <w:r w:rsidR="00322F38" w:rsidRPr="001E1BC9">
        <w:rPr>
          <w:i/>
        </w:rPr>
        <w:t xml:space="preserve">R. </w:t>
      </w:r>
      <w:proofErr w:type="spellStart"/>
      <w:r w:rsidR="00322F38" w:rsidRPr="001E1BC9">
        <w:rPr>
          <w:i/>
        </w:rPr>
        <w:t>solani</w:t>
      </w:r>
      <w:proofErr w:type="spellEnd"/>
      <w:r w:rsidR="00322F38">
        <w:rPr>
          <w:i/>
        </w:rPr>
        <w:t xml:space="preserve"> </w:t>
      </w:r>
      <w:r w:rsidR="00322F38">
        <w:t>at the end of season (Table 5).</w:t>
      </w:r>
    </w:p>
    <w:p w14:paraId="6020B4FC" w14:textId="77777777" w:rsidR="006867F7" w:rsidRDefault="006867F7" w:rsidP="00BE4C49"/>
    <w:p w14:paraId="61CC081E" w14:textId="77777777" w:rsidR="006867F7" w:rsidRDefault="006867F7" w:rsidP="00BE4C49"/>
    <w:p w14:paraId="6B605CFC" w14:textId="77777777" w:rsidR="006867F7" w:rsidRDefault="006867F7" w:rsidP="00BE4C49"/>
    <w:p w14:paraId="6ADC1393" w14:textId="77777777" w:rsidR="006867F7" w:rsidRDefault="006867F7" w:rsidP="00BE4C49"/>
    <w:p w14:paraId="17E7DB20" w14:textId="77777777" w:rsidR="00F92305" w:rsidRPr="00171600" w:rsidRDefault="005C17AD" w:rsidP="00BE4C49">
      <w:pPr>
        <w:rPr>
          <w:b/>
          <w:sz w:val="22"/>
        </w:rPr>
      </w:pPr>
      <w:r w:rsidRPr="00171600">
        <w:rPr>
          <w:b/>
          <w:sz w:val="22"/>
        </w:rPr>
        <w:t xml:space="preserve">Table </w:t>
      </w:r>
      <w:r w:rsidR="00CB44EF" w:rsidRPr="00171600">
        <w:rPr>
          <w:b/>
          <w:sz w:val="22"/>
        </w:rPr>
        <w:t>5</w:t>
      </w:r>
      <w:r w:rsidRPr="00171600">
        <w:rPr>
          <w:b/>
          <w:sz w:val="22"/>
        </w:rPr>
        <w:t xml:space="preserve">. </w:t>
      </w:r>
      <w:r w:rsidR="00032AB3" w:rsidRPr="00171600">
        <w:rPr>
          <w:b/>
          <w:sz w:val="22"/>
        </w:rPr>
        <w:t xml:space="preserve">2019 </w:t>
      </w:r>
      <w:proofErr w:type="spellStart"/>
      <w:r w:rsidR="00BE4C49" w:rsidRPr="00171600">
        <w:rPr>
          <w:b/>
          <w:i/>
          <w:sz w:val="22"/>
        </w:rPr>
        <w:t>Pratylenchus</w:t>
      </w:r>
      <w:proofErr w:type="spellEnd"/>
      <w:r w:rsidR="00BE4C49" w:rsidRPr="00171600">
        <w:rPr>
          <w:b/>
          <w:i/>
          <w:sz w:val="22"/>
        </w:rPr>
        <w:t xml:space="preserve"> neglectus </w:t>
      </w:r>
      <w:r w:rsidR="00BE4C49" w:rsidRPr="00171600">
        <w:rPr>
          <w:b/>
          <w:sz w:val="22"/>
        </w:rPr>
        <w:t xml:space="preserve">(RLN/g soil), </w:t>
      </w:r>
      <w:r w:rsidR="00BE4C49" w:rsidRPr="00171600">
        <w:rPr>
          <w:b/>
          <w:i/>
          <w:sz w:val="22"/>
        </w:rPr>
        <w:t xml:space="preserve">P. </w:t>
      </w:r>
      <w:proofErr w:type="spellStart"/>
      <w:r w:rsidR="00BE4C49" w:rsidRPr="00171600">
        <w:rPr>
          <w:b/>
          <w:i/>
          <w:sz w:val="22"/>
        </w:rPr>
        <w:t>quasitereoides</w:t>
      </w:r>
      <w:proofErr w:type="spellEnd"/>
      <w:r w:rsidR="00BE4C49" w:rsidRPr="00171600">
        <w:rPr>
          <w:b/>
          <w:sz w:val="22"/>
        </w:rPr>
        <w:t xml:space="preserve"> (RLN/g soil) and </w:t>
      </w:r>
      <w:r w:rsidR="00BE4C49" w:rsidRPr="00171600">
        <w:rPr>
          <w:b/>
          <w:i/>
          <w:sz w:val="22"/>
        </w:rPr>
        <w:t xml:space="preserve">Rhizoctonia </w:t>
      </w:r>
      <w:proofErr w:type="spellStart"/>
      <w:r w:rsidR="00BE4C49" w:rsidRPr="00171600">
        <w:rPr>
          <w:b/>
          <w:i/>
          <w:sz w:val="22"/>
        </w:rPr>
        <w:t>solani</w:t>
      </w:r>
      <w:proofErr w:type="spellEnd"/>
      <w:r w:rsidR="00BE4C49" w:rsidRPr="00171600">
        <w:rPr>
          <w:b/>
          <w:sz w:val="22"/>
        </w:rPr>
        <w:t xml:space="preserve"> AG8 (log </w:t>
      </w:r>
      <w:proofErr w:type="spellStart"/>
      <w:r w:rsidR="00BE4C49" w:rsidRPr="00171600">
        <w:rPr>
          <w:b/>
          <w:sz w:val="22"/>
        </w:rPr>
        <w:t>pgDNA</w:t>
      </w:r>
      <w:proofErr w:type="spellEnd"/>
      <w:r w:rsidR="00BE4C49" w:rsidRPr="00171600">
        <w:rPr>
          <w:b/>
          <w:sz w:val="22"/>
        </w:rPr>
        <w:t>/g soil) levels at</w:t>
      </w:r>
      <w:r w:rsidRPr="00171600">
        <w:rPr>
          <w:b/>
          <w:sz w:val="22"/>
        </w:rPr>
        <w:t xml:space="preserve"> the </w:t>
      </w:r>
      <w:r w:rsidR="00270360" w:rsidRPr="00171600">
        <w:rPr>
          <w:b/>
          <w:sz w:val="22"/>
        </w:rPr>
        <w:t xml:space="preserve">start </w:t>
      </w:r>
      <w:r w:rsidRPr="00171600">
        <w:rPr>
          <w:b/>
          <w:sz w:val="22"/>
        </w:rPr>
        <w:t xml:space="preserve">of </w:t>
      </w:r>
      <w:r w:rsidR="00270360" w:rsidRPr="00171600">
        <w:rPr>
          <w:b/>
          <w:sz w:val="22"/>
        </w:rPr>
        <w:t xml:space="preserve">the </w:t>
      </w:r>
      <w:r w:rsidRPr="00171600">
        <w:rPr>
          <w:b/>
          <w:sz w:val="22"/>
        </w:rPr>
        <w:t>season (Pi) and at harvest</w:t>
      </w:r>
      <w:r w:rsidR="00032AB3" w:rsidRPr="00171600">
        <w:rPr>
          <w:b/>
          <w:sz w:val="22"/>
        </w:rPr>
        <w:t xml:space="preserve"> of wheat crop grown</w:t>
      </w:r>
      <w:r w:rsidRPr="00171600">
        <w:rPr>
          <w:b/>
          <w:sz w:val="22"/>
        </w:rPr>
        <w:t xml:space="preserve"> (</w:t>
      </w:r>
      <w:proofErr w:type="spellStart"/>
      <w:r w:rsidRPr="00171600">
        <w:rPr>
          <w:b/>
          <w:sz w:val="22"/>
        </w:rPr>
        <w:t>Pf</w:t>
      </w:r>
      <w:proofErr w:type="spellEnd"/>
      <w:r w:rsidRPr="00171600">
        <w:rPr>
          <w:b/>
          <w:sz w:val="22"/>
        </w:rPr>
        <w:t xml:space="preserve">) </w:t>
      </w:r>
      <w:r w:rsidR="003D50A3" w:rsidRPr="00171600">
        <w:rPr>
          <w:b/>
          <w:sz w:val="22"/>
        </w:rPr>
        <w:t xml:space="preserve">at </w:t>
      </w:r>
      <w:r w:rsidR="00032AB3" w:rsidRPr="00171600">
        <w:rPr>
          <w:b/>
          <w:sz w:val="22"/>
        </w:rPr>
        <w:t>Grass Valley.</w:t>
      </w:r>
      <w:r w:rsidRPr="00171600">
        <w:rPr>
          <w:b/>
          <w:sz w:val="22"/>
        </w:rPr>
        <w:t xml:space="preserve"> </w:t>
      </w:r>
    </w:p>
    <w:tbl>
      <w:tblPr>
        <w:tblW w:w="10426" w:type="dxa"/>
        <w:tblLook w:val="04A0" w:firstRow="1" w:lastRow="0" w:firstColumn="1" w:lastColumn="0" w:noHBand="0" w:noVBand="1"/>
      </w:tblPr>
      <w:tblGrid>
        <w:gridCol w:w="950"/>
        <w:gridCol w:w="1586"/>
        <w:gridCol w:w="1315"/>
        <w:gridCol w:w="1315"/>
        <w:gridCol w:w="1315"/>
        <w:gridCol w:w="1315"/>
        <w:gridCol w:w="1315"/>
        <w:gridCol w:w="1315"/>
      </w:tblGrid>
      <w:tr w:rsidR="00155344" w:rsidRPr="00F92305" w14:paraId="35317722" w14:textId="77777777" w:rsidTr="006867F7">
        <w:trPr>
          <w:trHeight w:val="290"/>
        </w:trPr>
        <w:tc>
          <w:tcPr>
            <w:tcW w:w="9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E23AE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Crop Type</w:t>
            </w:r>
            <w:r w:rsidRPr="00F92305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br/>
              <w:t>2018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A7DF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Crop</w:t>
            </w:r>
            <w:r w:rsidR="00032AB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 xml:space="preserve"> 2018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3F1CE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P. </w:t>
            </w:r>
            <w:proofErr w:type="spellStart"/>
            <w:r w:rsidRPr="00F92305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n-AU"/>
              </w:rPr>
              <w:t>quasitereoides</w:t>
            </w:r>
            <w:proofErr w:type="spellEnd"/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00C81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n-AU"/>
              </w:rPr>
              <w:t>P. neglectus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C9232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R. </w:t>
            </w:r>
            <w:proofErr w:type="spellStart"/>
            <w:r w:rsidRPr="00F92305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n-AU"/>
              </w:rPr>
              <w:t>solani</w:t>
            </w:r>
            <w:proofErr w:type="spellEnd"/>
          </w:p>
        </w:tc>
      </w:tr>
      <w:tr w:rsidR="00155344" w:rsidRPr="00F92305" w14:paraId="579C6F1F" w14:textId="77777777" w:rsidTr="006867F7">
        <w:trPr>
          <w:trHeight w:val="290"/>
        </w:trPr>
        <w:tc>
          <w:tcPr>
            <w:tcW w:w="9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B42D91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44E1D4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846CC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Pi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0F693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F92305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Pf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01F8B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Pi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715E6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F92305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Pf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002E1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Pi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B41EA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F92305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Pf</w:t>
            </w:r>
            <w:proofErr w:type="spellEnd"/>
          </w:p>
        </w:tc>
      </w:tr>
      <w:tr w:rsidR="00155344" w:rsidRPr="00F92305" w14:paraId="36F2ECC0" w14:textId="77777777" w:rsidTr="006867F7">
        <w:trPr>
          <w:trHeight w:val="290"/>
        </w:trPr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FCC2F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Pasture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EB56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Serradella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07ED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0.8(ab)</w:t>
            </w:r>
            <w:r w:rsidR="00CB44EF">
              <w:rPr>
                <w:rFonts w:ascii="Calibri" w:eastAsia="Times New Roman" w:hAnsi="Calibri" w:cs="Calibri"/>
                <w:sz w:val="22"/>
                <w:lang w:eastAsia="en-AU"/>
              </w:rPr>
              <w:t>^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E617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3.7(a)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D5C7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1.1(ab)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E977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3.6(a)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6095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0.5(a)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129D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2.0(</w:t>
            </w:r>
            <w:proofErr w:type="spellStart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abcd</w:t>
            </w:r>
            <w:proofErr w:type="spellEnd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)</w:t>
            </w:r>
          </w:p>
        </w:tc>
      </w:tr>
      <w:tr w:rsidR="00155344" w:rsidRPr="00F92305" w14:paraId="5E49DBE1" w14:textId="77777777" w:rsidTr="006867F7">
        <w:trPr>
          <w:trHeight w:val="290"/>
        </w:trPr>
        <w:tc>
          <w:tcPr>
            <w:tcW w:w="9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07141D1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AE04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proofErr w:type="spellStart"/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Subclover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A70C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0.8(</w:t>
            </w:r>
            <w:proofErr w:type="spellStart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abc</w:t>
            </w:r>
            <w:proofErr w:type="spellEnd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37CD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3.8(a)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6F0B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1.8(</w:t>
            </w:r>
            <w:proofErr w:type="spellStart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abc</w:t>
            </w:r>
            <w:proofErr w:type="spellEnd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BBFB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4.8(a)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74DB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1.2(a)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EC53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1.7(ab)</w:t>
            </w:r>
          </w:p>
        </w:tc>
      </w:tr>
      <w:tr w:rsidR="00155344" w:rsidRPr="00F92305" w14:paraId="41B52E85" w14:textId="77777777" w:rsidTr="006867F7">
        <w:trPr>
          <w:trHeight w:val="290"/>
        </w:trPr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53BA0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Pulse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50C0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Field pea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B79C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3.7(a)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97B0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6.1(</w:t>
            </w:r>
            <w:proofErr w:type="spellStart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abc</w:t>
            </w:r>
            <w:proofErr w:type="spellEnd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27BC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0.6(a)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273F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1.8(a)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6E75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0.8(a)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5ECA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1.7(</w:t>
            </w:r>
            <w:proofErr w:type="spellStart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abc</w:t>
            </w:r>
            <w:proofErr w:type="spellEnd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)</w:t>
            </w:r>
          </w:p>
        </w:tc>
      </w:tr>
      <w:tr w:rsidR="00155344" w:rsidRPr="00F92305" w14:paraId="512D4F5E" w14:textId="77777777" w:rsidTr="006867F7">
        <w:trPr>
          <w:trHeight w:val="290"/>
        </w:trPr>
        <w:tc>
          <w:tcPr>
            <w:tcW w:w="95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EC67490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A6C1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Lupin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3047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2.4(a)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D880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4.7(a)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95FF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0.6(a)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15E8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2.4(a)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1696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0.9(a)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3FE6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1.6(a)</w:t>
            </w:r>
          </w:p>
        </w:tc>
      </w:tr>
      <w:tr w:rsidR="00155344" w:rsidRPr="00F92305" w14:paraId="1E7B6D24" w14:textId="77777777" w:rsidTr="006867F7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AA9CE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29D1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Chickpea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F291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3.9(</w:t>
            </w:r>
            <w:proofErr w:type="spellStart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bc</w:t>
            </w:r>
            <w:proofErr w:type="spellEnd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94FF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6.2(ab)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B8D4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2.4(</w:t>
            </w:r>
            <w:proofErr w:type="spellStart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bc</w:t>
            </w:r>
            <w:proofErr w:type="spellEnd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6DB7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4.5(a)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D102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0.9(a)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1729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2.4(d)</w:t>
            </w:r>
          </w:p>
        </w:tc>
      </w:tr>
      <w:tr w:rsidR="00155344" w:rsidRPr="00F92305" w14:paraId="22399076" w14:textId="77777777" w:rsidTr="006867F7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6D17A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Fallow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EF2B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Fallow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00CA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2.0(a)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2769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5.4(ab)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A93C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0.9(a)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1E37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3.7(a)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FF65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1.4(a)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903F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2.1(cd)</w:t>
            </w:r>
          </w:p>
        </w:tc>
      </w:tr>
      <w:tr w:rsidR="00155344" w:rsidRPr="00F92305" w14:paraId="124EEB48" w14:textId="77777777" w:rsidTr="006867F7"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7D4F6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Oilseed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AFE4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Canola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A573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12.1(</w:t>
            </w:r>
            <w:proofErr w:type="spellStart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bc</w:t>
            </w:r>
            <w:proofErr w:type="spellEnd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34FF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17.1(d)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FD2C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3.2(</w:t>
            </w:r>
            <w:proofErr w:type="spellStart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bc</w:t>
            </w:r>
            <w:proofErr w:type="spellEnd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2EFE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4.2(a)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8DFB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1.7(a)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B754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2.3(d)</w:t>
            </w:r>
          </w:p>
        </w:tc>
      </w:tr>
      <w:tr w:rsidR="00AD2D56" w:rsidRPr="00F92305" w14:paraId="09B15EF3" w14:textId="77777777" w:rsidTr="006867F7">
        <w:trPr>
          <w:trHeight w:val="290"/>
        </w:trPr>
        <w:tc>
          <w:tcPr>
            <w:tcW w:w="9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A4F3DB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Cereal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1C6E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Barley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9C2D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18.6(</w:t>
            </w:r>
            <w:proofErr w:type="spellStart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bc</w:t>
            </w:r>
            <w:proofErr w:type="spellEnd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39B2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9.3(</w:t>
            </w:r>
            <w:proofErr w:type="spellStart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bcd</w:t>
            </w:r>
            <w:proofErr w:type="spellEnd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4938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2.4(</w:t>
            </w:r>
            <w:proofErr w:type="spellStart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bc</w:t>
            </w:r>
            <w:proofErr w:type="spellEnd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9E04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3.0(a)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F3E5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2.2(a)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5602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2.1(</w:t>
            </w:r>
            <w:proofErr w:type="spellStart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bcd</w:t>
            </w:r>
            <w:proofErr w:type="spellEnd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)</w:t>
            </w:r>
          </w:p>
        </w:tc>
      </w:tr>
      <w:tr w:rsidR="00155344" w:rsidRPr="00F92305" w14:paraId="777A4D46" w14:textId="77777777" w:rsidTr="006867F7">
        <w:trPr>
          <w:trHeight w:val="290"/>
        </w:trPr>
        <w:tc>
          <w:tcPr>
            <w:tcW w:w="9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944A0B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89EB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Wheat (Ca</w:t>
            </w:r>
            <w:r w:rsidR="006867F7">
              <w:rPr>
                <w:rFonts w:eastAsia="Times New Roman" w:cs="Arial"/>
                <w:sz w:val="18"/>
                <w:szCs w:val="18"/>
                <w:lang w:eastAsia="en-AU"/>
              </w:rPr>
              <w:t>lingiri</w:t>
            </w:r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FB60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18.4(c)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6737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9.5(cd)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A4E9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4.2(c)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6944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2.9(a)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41D2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1.8(a)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19B1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2.2(cd)</w:t>
            </w:r>
          </w:p>
        </w:tc>
      </w:tr>
      <w:tr w:rsidR="00155344" w:rsidRPr="00F92305" w14:paraId="4429D9FF" w14:textId="77777777" w:rsidTr="006867F7">
        <w:trPr>
          <w:trHeight w:val="290"/>
        </w:trPr>
        <w:tc>
          <w:tcPr>
            <w:tcW w:w="9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F37C8E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E0C74" w14:textId="77777777" w:rsidR="00F92305" w:rsidRPr="00F92305" w:rsidRDefault="00F92305" w:rsidP="00F923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Wheat (Ma</w:t>
            </w:r>
            <w:r w:rsidR="006867F7">
              <w:rPr>
                <w:rFonts w:eastAsia="Times New Roman" w:cs="Arial"/>
                <w:sz w:val="18"/>
                <w:szCs w:val="18"/>
                <w:lang w:eastAsia="en-AU"/>
              </w:rPr>
              <w:t>ce</w:t>
            </w:r>
            <w:r w:rsidRPr="00F92305">
              <w:rPr>
                <w:rFonts w:eastAsia="Times New Roman"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0B92C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11.8(</w:t>
            </w:r>
            <w:proofErr w:type="spellStart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bc</w:t>
            </w:r>
            <w:proofErr w:type="spellEnd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CB0B7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8.4(</w:t>
            </w:r>
            <w:proofErr w:type="spellStart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bc</w:t>
            </w:r>
            <w:proofErr w:type="spellEnd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42D41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3.5(</w:t>
            </w:r>
            <w:proofErr w:type="spellStart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bc</w:t>
            </w:r>
            <w:proofErr w:type="spellEnd"/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8E91D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2.9(a)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3B07C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0.5(a)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672AA" w14:textId="77777777" w:rsidR="00F92305" w:rsidRPr="00F92305" w:rsidRDefault="00F92305" w:rsidP="00F9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en-AU"/>
              </w:rPr>
            </w:pPr>
            <w:r w:rsidRPr="00F92305">
              <w:rPr>
                <w:rFonts w:ascii="Calibri" w:eastAsia="Times New Roman" w:hAnsi="Calibri" w:cs="Calibri"/>
                <w:sz w:val="22"/>
                <w:lang w:eastAsia="en-AU"/>
              </w:rPr>
              <w:t>2.3(d)</w:t>
            </w:r>
          </w:p>
        </w:tc>
      </w:tr>
    </w:tbl>
    <w:p w14:paraId="149CD73E" w14:textId="77777777" w:rsidR="00F92305" w:rsidRPr="00F92305" w:rsidRDefault="00CB44EF" w:rsidP="00F92305">
      <w:r w:rsidRPr="00CB44EF">
        <w:rPr>
          <w:sz w:val="16"/>
          <w:szCs w:val="16"/>
        </w:rPr>
        <w:t xml:space="preserve">^ Letters represent a significant (p&lt;0.10) difference </w:t>
      </w:r>
      <w:r w:rsidR="00CA4B23" w:rsidRPr="00CA4B23">
        <w:rPr>
          <w:sz w:val="16"/>
          <w:szCs w:val="16"/>
        </w:rPr>
        <w:t>using Fisher’s Protected LSD</w:t>
      </w:r>
      <w:r w:rsidR="00AB244D">
        <w:rPr>
          <w:sz w:val="16"/>
          <w:szCs w:val="16"/>
        </w:rPr>
        <w:t>.</w:t>
      </w:r>
    </w:p>
    <w:p w14:paraId="5FFA2390" w14:textId="77777777" w:rsidR="002C6663" w:rsidRPr="000A783D" w:rsidRDefault="001B0472" w:rsidP="00897B1A">
      <w:pPr>
        <w:rPr>
          <w:u w:val="single"/>
        </w:rPr>
      </w:pPr>
      <w:r w:rsidRPr="000A783D">
        <w:rPr>
          <w:u w:val="single"/>
        </w:rPr>
        <w:t>Dumbleyung</w:t>
      </w:r>
    </w:p>
    <w:p w14:paraId="1A333471" w14:textId="77777777" w:rsidR="001B0472" w:rsidRDefault="00C206F6" w:rsidP="00897B1A">
      <w:r w:rsidRPr="00C206F6">
        <w:rPr>
          <w:i/>
        </w:rPr>
        <w:t>P. neglectus</w:t>
      </w:r>
      <w:r>
        <w:t xml:space="preserve"> levels </w:t>
      </w:r>
      <w:r w:rsidR="00244B1B">
        <w:t xml:space="preserve">at </w:t>
      </w:r>
      <w:r w:rsidR="0020258C">
        <w:t>sowing</w:t>
      </w:r>
      <w:r w:rsidR="00244B1B">
        <w:t xml:space="preserve"> and </w:t>
      </w:r>
      <w:r w:rsidR="0020258C">
        <w:t>harvest in</w:t>
      </w:r>
      <w:r w:rsidR="00244B1B">
        <w:t xml:space="preserve"> 2019 </w:t>
      </w:r>
      <w:r>
        <w:t xml:space="preserve">were </w:t>
      </w:r>
      <w:r w:rsidR="00887903">
        <w:t xml:space="preserve">at least </w:t>
      </w:r>
      <w:r w:rsidR="00E149F9">
        <w:t>three</w:t>
      </w:r>
      <w:r w:rsidR="00887903">
        <w:t xml:space="preserve"> times </w:t>
      </w:r>
      <w:r>
        <w:t xml:space="preserve">higher in the 2018 canola plots at Dumbleyung </w:t>
      </w:r>
      <w:r w:rsidR="00270360">
        <w:t>than</w:t>
      </w:r>
      <w:r>
        <w:t xml:space="preserve"> the </w:t>
      </w:r>
      <w:proofErr w:type="spellStart"/>
      <w:r>
        <w:t>faba</w:t>
      </w:r>
      <w:proofErr w:type="spellEnd"/>
      <w:r>
        <w:t xml:space="preserve"> bean and lupin plots</w:t>
      </w:r>
      <w:r w:rsidR="00145418">
        <w:t>.</w:t>
      </w:r>
      <w:r>
        <w:t xml:space="preserve"> </w:t>
      </w:r>
      <w:r w:rsidR="00887903">
        <w:t xml:space="preserve">Serradella </w:t>
      </w:r>
      <w:r w:rsidR="00270360">
        <w:t xml:space="preserve">had </w:t>
      </w:r>
      <w:r w:rsidR="00887903">
        <w:t xml:space="preserve">higher </w:t>
      </w:r>
      <w:r w:rsidR="00270360" w:rsidRPr="00C206F6">
        <w:rPr>
          <w:i/>
        </w:rPr>
        <w:t>P. neglectus</w:t>
      </w:r>
      <w:r w:rsidR="00270360">
        <w:t xml:space="preserve"> levels at the </w:t>
      </w:r>
      <w:r w:rsidR="00887903">
        <w:t xml:space="preserve">end of </w:t>
      </w:r>
      <w:r w:rsidR="00270360">
        <w:t xml:space="preserve">the </w:t>
      </w:r>
      <w:r w:rsidR="00887903">
        <w:t xml:space="preserve">season than </w:t>
      </w:r>
      <w:proofErr w:type="spellStart"/>
      <w:r w:rsidR="00554155">
        <w:t>faba</w:t>
      </w:r>
      <w:proofErr w:type="spellEnd"/>
      <w:r w:rsidR="00554155">
        <w:t xml:space="preserve"> </w:t>
      </w:r>
      <w:r w:rsidR="00887903">
        <w:t xml:space="preserve">beans and </w:t>
      </w:r>
      <w:proofErr w:type="gramStart"/>
      <w:r w:rsidR="00E149F9">
        <w:t>lupins</w:t>
      </w:r>
      <w:proofErr w:type="gramEnd"/>
      <w:r w:rsidR="00887903">
        <w:t xml:space="preserve"> but levels were not as high as </w:t>
      </w:r>
      <w:r w:rsidR="00270360">
        <w:t xml:space="preserve">those in </w:t>
      </w:r>
      <w:r w:rsidR="00887903">
        <w:t xml:space="preserve">canola </w:t>
      </w:r>
      <w:r w:rsidR="002918D4">
        <w:t xml:space="preserve">(Table </w:t>
      </w:r>
      <w:r w:rsidR="00CB44EF">
        <w:t>6</w:t>
      </w:r>
      <w:r w:rsidR="002918D4">
        <w:t>)</w:t>
      </w:r>
      <w:r>
        <w:t xml:space="preserve">. There were no differences in </w:t>
      </w:r>
      <w:r w:rsidRPr="00C206F6">
        <w:rPr>
          <w:i/>
        </w:rPr>
        <w:t xml:space="preserve">R. </w:t>
      </w:r>
      <w:proofErr w:type="spellStart"/>
      <w:r w:rsidRPr="00C206F6">
        <w:rPr>
          <w:i/>
        </w:rPr>
        <w:t>solani</w:t>
      </w:r>
      <w:proofErr w:type="spellEnd"/>
      <w:r>
        <w:t xml:space="preserve"> levels between the </w:t>
      </w:r>
      <w:r w:rsidR="00244B1B">
        <w:t>four</w:t>
      </w:r>
      <w:r>
        <w:t xml:space="preserve"> treatments in the 2019 growing season.</w:t>
      </w:r>
    </w:p>
    <w:p w14:paraId="396F8075" w14:textId="77777777" w:rsidR="00F92305" w:rsidRPr="00171600" w:rsidRDefault="00D14DF5" w:rsidP="00897B1A">
      <w:pPr>
        <w:rPr>
          <w:b/>
          <w:sz w:val="22"/>
        </w:rPr>
      </w:pPr>
      <w:r w:rsidRPr="00171600">
        <w:rPr>
          <w:b/>
          <w:sz w:val="22"/>
        </w:rPr>
        <w:t xml:space="preserve">Table </w:t>
      </w:r>
      <w:r w:rsidR="00CB44EF" w:rsidRPr="00171600">
        <w:rPr>
          <w:b/>
          <w:sz w:val="22"/>
        </w:rPr>
        <w:t>6</w:t>
      </w:r>
      <w:r w:rsidRPr="00171600">
        <w:rPr>
          <w:b/>
          <w:sz w:val="22"/>
        </w:rPr>
        <w:t xml:space="preserve">. </w:t>
      </w:r>
      <w:proofErr w:type="spellStart"/>
      <w:r w:rsidR="00BE4C49" w:rsidRPr="00171600">
        <w:rPr>
          <w:b/>
          <w:i/>
          <w:sz w:val="22"/>
        </w:rPr>
        <w:t>Pratylenchus</w:t>
      </w:r>
      <w:proofErr w:type="spellEnd"/>
      <w:r w:rsidR="00BE4C49" w:rsidRPr="00171600">
        <w:rPr>
          <w:b/>
          <w:i/>
          <w:sz w:val="22"/>
        </w:rPr>
        <w:t xml:space="preserve"> neglectus </w:t>
      </w:r>
      <w:r w:rsidR="00BE4C49" w:rsidRPr="00171600">
        <w:rPr>
          <w:b/>
          <w:sz w:val="22"/>
        </w:rPr>
        <w:t xml:space="preserve">(RLN/g soil) and </w:t>
      </w:r>
      <w:r w:rsidR="00BE4C49" w:rsidRPr="00171600">
        <w:rPr>
          <w:b/>
          <w:i/>
          <w:sz w:val="22"/>
        </w:rPr>
        <w:t xml:space="preserve">Rhizoctonia </w:t>
      </w:r>
      <w:proofErr w:type="spellStart"/>
      <w:r w:rsidR="00BE4C49" w:rsidRPr="00171600">
        <w:rPr>
          <w:b/>
          <w:i/>
          <w:sz w:val="22"/>
        </w:rPr>
        <w:t>solani</w:t>
      </w:r>
      <w:proofErr w:type="spellEnd"/>
      <w:r w:rsidR="00BE4C49" w:rsidRPr="00171600">
        <w:rPr>
          <w:b/>
          <w:sz w:val="22"/>
        </w:rPr>
        <w:t xml:space="preserve"> AG8 (log </w:t>
      </w:r>
      <w:proofErr w:type="spellStart"/>
      <w:r w:rsidR="00BE4C49" w:rsidRPr="00171600">
        <w:rPr>
          <w:b/>
          <w:sz w:val="22"/>
        </w:rPr>
        <w:t>pgDNA</w:t>
      </w:r>
      <w:proofErr w:type="spellEnd"/>
      <w:r w:rsidR="00BE4C49" w:rsidRPr="00171600">
        <w:rPr>
          <w:b/>
          <w:sz w:val="22"/>
        </w:rPr>
        <w:t>/g soil) levels</w:t>
      </w:r>
      <w:r w:rsidRPr="00171600">
        <w:rPr>
          <w:b/>
          <w:sz w:val="22"/>
        </w:rPr>
        <w:t xml:space="preserve"> from the </w:t>
      </w:r>
      <w:r w:rsidR="00270360">
        <w:rPr>
          <w:b/>
          <w:sz w:val="22"/>
        </w:rPr>
        <w:t>start</w:t>
      </w:r>
      <w:r w:rsidR="00270360" w:rsidRPr="00171600">
        <w:rPr>
          <w:b/>
          <w:sz w:val="22"/>
        </w:rPr>
        <w:t xml:space="preserve"> </w:t>
      </w:r>
      <w:r w:rsidRPr="00171600">
        <w:rPr>
          <w:b/>
          <w:sz w:val="22"/>
        </w:rPr>
        <w:t>of the season (Pi) and at harvest</w:t>
      </w:r>
      <w:r w:rsidR="00270360">
        <w:rPr>
          <w:b/>
          <w:sz w:val="22"/>
        </w:rPr>
        <w:t xml:space="preserve"> </w:t>
      </w:r>
      <w:r w:rsidR="00270360" w:rsidRPr="007A4F94">
        <w:rPr>
          <w:b/>
          <w:sz w:val="22"/>
        </w:rPr>
        <w:t>(</w:t>
      </w:r>
      <w:proofErr w:type="spellStart"/>
      <w:r w:rsidR="00270360" w:rsidRPr="007A4F94">
        <w:rPr>
          <w:b/>
          <w:sz w:val="22"/>
        </w:rPr>
        <w:t>Pf</w:t>
      </w:r>
      <w:proofErr w:type="spellEnd"/>
      <w:r w:rsidR="00270360" w:rsidRPr="007A4F94">
        <w:rPr>
          <w:b/>
          <w:sz w:val="22"/>
        </w:rPr>
        <w:t xml:space="preserve">) </w:t>
      </w:r>
      <w:r w:rsidR="00032AB3" w:rsidRPr="00171600">
        <w:rPr>
          <w:b/>
          <w:sz w:val="22"/>
        </w:rPr>
        <w:t>of wheat grown</w:t>
      </w:r>
      <w:r w:rsidRPr="00171600">
        <w:rPr>
          <w:b/>
          <w:sz w:val="22"/>
        </w:rPr>
        <w:t xml:space="preserve"> </w:t>
      </w:r>
      <w:r w:rsidR="00270360">
        <w:rPr>
          <w:b/>
          <w:sz w:val="22"/>
        </w:rPr>
        <w:t>at</w:t>
      </w:r>
      <w:r w:rsidR="00270360" w:rsidRPr="00171600">
        <w:rPr>
          <w:b/>
          <w:sz w:val="22"/>
        </w:rPr>
        <w:t xml:space="preserve"> </w:t>
      </w:r>
      <w:r w:rsidR="00032AB3" w:rsidRPr="00171600">
        <w:rPr>
          <w:b/>
          <w:sz w:val="22"/>
        </w:rPr>
        <w:t xml:space="preserve">2019 </w:t>
      </w:r>
      <w:r w:rsidR="003D50A3" w:rsidRPr="00171600">
        <w:rPr>
          <w:b/>
          <w:sz w:val="22"/>
        </w:rPr>
        <w:t>at</w:t>
      </w:r>
      <w:r w:rsidR="00270360">
        <w:rPr>
          <w:b/>
          <w:sz w:val="22"/>
        </w:rPr>
        <w:t xml:space="preserve"> </w:t>
      </w:r>
      <w:r w:rsidR="003D50A3" w:rsidRPr="00171600">
        <w:rPr>
          <w:b/>
          <w:sz w:val="22"/>
        </w:rPr>
        <w:t>Dumbleyung</w:t>
      </w:r>
      <w:r w:rsidRPr="00171600">
        <w:rPr>
          <w:b/>
          <w:sz w:val="22"/>
        </w:rPr>
        <w:t xml:space="preserve">. </w:t>
      </w:r>
    </w:p>
    <w:tbl>
      <w:tblPr>
        <w:tblW w:w="10216" w:type="dxa"/>
        <w:tblLook w:val="04A0" w:firstRow="1" w:lastRow="0" w:firstColumn="1" w:lastColumn="0" w:noHBand="0" w:noVBand="1"/>
      </w:tblPr>
      <w:tblGrid>
        <w:gridCol w:w="1396"/>
        <w:gridCol w:w="1396"/>
        <w:gridCol w:w="1856"/>
        <w:gridCol w:w="1856"/>
        <w:gridCol w:w="1856"/>
        <w:gridCol w:w="1856"/>
      </w:tblGrid>
      <w:tr w:rsidR="00032AB3" w:rsidRPr="00F92305" w14:paraId="6B970EEA" w14:textId="77777777" w:rsidTr="005C613C">
        <w:trPr>
          <w:trHeight w:val="300"/>
        </w:trPr>
        <w:tc>
          <w:tcPr>
            <w:tcW w:w="13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59FE532" w14:textId="77777777" w:rsidR="00032AB3" w:rsidRDefault="00032AB3" w:rsidP="00F9230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</w:p>
          <w:p w14:paraId="622856B9" w14:textId="77777777" w:rsidR="00032AB3" w:rsidRPr="008407B1" w:rsidRDefault="00032AB3" w:rsidP="00F92305">
            <w:pPr>
              <w:spacing w:after="0" w:line="240" w:lineRule="auto"/>
            </w:pPr>
            <w:r w:rsidRPr="00F92305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Crop Type</w:t>
            </w:r>
            <w:r w:rsidRPr="00F92305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br/>
              <w:t>2018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F3D0" w14:textId="77777777" w:rsidR="00032AB3" w:rsidRPr="008407B1" w:rsidRDefault="00032AB3" w:rsidP="00F92305">
            <w:pPr>
              <w:spacing w:after="0" w:line="240" w:lineRule="auto"/>
            </w:pPr>
            <w:r w:rsidRPr="008407B1">
              <w:t> 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D4F07" w14:textId="77777777" w:rsidR="00032AB3" w:rsidRPr="008407B1" w:rsidRDefault="00032AB3" w:rsidP="00F92305">
            <w:pPr>
              <w:spacing w:after="0" w:line="240" w:lineRule="auto"/>
              <w:jc w:val="center"/>
              <w:rPr>
                <w:b/>
                <w:i/>
              </w:rPr>
            </w:pPr>
            <w:r w:rsidRPr="008407B1">
              <w:rPr>
                <w:b/>
                <w:i/>
              </w:rPr>
              <w:t>P. neglectus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7890" w14:textId="77777777" w:rsidR="00032AB3" w:rsidRPr="008407B1" w:rsidRDefault="00032AB3" w:rsidP="00F92305">
            <w:pPr>
              <w:spacing w:after="0" w:line="240" w:lineRule="auto"/>
              <w:jc w:val="center"/>
              <w:rPr>
                <w:b/>
                <w:i/>
              </w:rPr>
            </w:pPr>
            <w:r w:rsidRPr="008407B1">
              <w:rPr>
                <w:b/>
                <w:i/>
              </w:rPr>
              <w:t xml:space="preserve">R. </w:t>
            </w:r>
            <w:proofErr w:type="spellStart"/>
            <w:r w:rsidRPr="008407B1">
              <w:rPr>
                <w:b/>
                <w:i/>
              </w:rPr>
              <w:t>solani</w:t>
            </w:r>
            <w:proofErr w:type="spellEnd"/>
          </w:p>
        </w:tc>
      </w:tr>
      <w:tr w:rsidR="00032AB3" w:rsidRPr="00F92305" w14:paraId="314A0284" w14:textId="77777777" w:rsidTr="005C613C">
        <w:trPr>
          <w:trHeight w:val="300"/>
        </w:trPr>
        <w:tc>
          <w:tcPr>
            <w:tcW w:w="13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D2428B6" w14:textId="77777777" w:rsidR="00032AB3" w:rsidRPr="008407B1" w:rsidRDefault="00032AB3" w:rsidP="00F92305">
            <w:pPr>
              <w:spacing w:after="0" w:line="240" w:lineRule="auto"/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A91C8" w14:textId="77777777" w:rsidR="00032AB3" w:rsidRPr="00032AB3" w:rsidRDefault="00032AB3" w:rsidP="00032AB3">
            <w:pPr>
              <w:spacing w:after="0" w:line="240" w:lineRule="auto"/>
              <w:rPr>
                <w:b/>
              </w:rPr>
            </w:pPr>
            <w:r w:rsidRPr="008407B1">
              <w:t> </w:t>
            </w:r>
            <w:r w:rsidRPr="00032AB3">
              <w:rPr>
                <w:rFonts w:eastAsia="Times New Roman" w:cs="Arial"/>
                <w:b/>
                <w:szCs w:val="20"/>
                <w:lang w:eastAsia="en-AU"/>
              </w:rPr>
              <w:t xml:space="preserve">Crop 2018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759F5" w14:textId="77777777" w:rsidR="00032AB3" w:rsidRPr="008407B1" w:rsidRDefault="00032AB3" w:rsidP="00F92305">
            <w:pPr>
              <w:spacing w:after="0" w:line="240" w:lineRule="auto"/>
              <w:jc w:val="center"/>
              <w:rPr>
                <w:b/>
              </w:rPr>
            </w:pPr>
            <w:r w:rsidRPr="008407B1">
              <w:rPr>
                <w:b/>
              </w:rPr>
              <w:t>Pi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2DD9A" w14:textId="77777777" w:rsidR="00032AB3" w:rsidRPr="008407B1" w:rsidRDefault="00032AB3" w:rsidP="00F9230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8407B1">
              <w:rPr>
                <w:b/>
              </w:rPr>
              <w:t>Pf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C2F5F" w14:textId="77777777" w:rsidR="00032AB3" w:rsidRPr="008407B1" w:rsidRDefault="00032AB3" w:rsidP="00F92305">
            <w:pPr>
              <w:spacing w:after="0" w:line="240" w:lineRule="auto"/>
              <w:jc w:val="center"/>
              <w:rPr>
                <w:b/>
              </w:rPr>
            </w:pPr>
            <w:r w:rsidRPr="008407B1">
              <w:rPr>
                <w:b/>
              </w:rPr>
              <w:t>Pi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1FB7E" w14:textId="77777777" w:rsidR="00032AB3" w:rsidRPr="008407B1" w:rsidRDefault="00032AB3" w:rsidP="00F9230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8407B1">
              <w:rPr>
                <w:b/>
              </w:rPr>
              <w:t>Pf</w:t>
            </w:r>
            <w:proofErr w:type="spellEnd"/>
          </w:p>
        </w:tc>
      </w:tr>
      <w:tr w:rsidR="00032AB3" w:rsidRPr="00F92305" w14:paraId="33DA88CD" w14:textId="77777777" w:rsidTr="00032AB3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7F4F5199" w14:textId="77777777" w:rsidR="00032AB3" w:rsidRPr="008407B1" w:rsidRDefault="00032AB3" w:rsidP="00F92305">
            <w:pPr>
              <w:spacing w:after="0" w:line="240" w:lineRule="auto"/>
            </w:pPr>
            <w:r>
              <w:t>Oilseed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5E02" w14:textId="77777777" w:rsidR="00032AB3" w:rsidRPr="008407B1" w:rsidRDefault="00032AB3" w:rsidP="00F92305">
            <w:pPr>
              <w:spacing w:after="0" w:line="240" w:lineRule="auto"/>
            </w:pPr>
            <w:r w:rsidRPr="008407B1">
              <w:t>Canola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3D48" w14:textId="77777777" w:rsidR="00032AB3" w:rsidRPr="008407B1" w:rsidRDefault="00032AB3" w:rsidP="00F92305">
            <w:pPr>
              <w:spacing w:after="0" w:line="240" w:lineRule="auto"/>
              <w:jc w:val="center"/>
            </w:pPr>
            <w:r w:rsidRPr="008407B1">
              <w:t>20.4(c)</w:t>
            </w:r>
            <w:r>
              <w:rPr>
                <w:rFonts w:cs="Arial"/>
              </w:rPr>
              <w:t>^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C2BB" w14:textId="77777777" w:rsidR="00032AB3" w:rsidRPr="008407B1" w:rsidRDefault="00032AB3" w:rsidP="00F92305">
            <w:pPr>
              <w:spacing w:after="0" w:line="240" w:lineRule="auto"/>
              <w:jc w:val="center"/>
            </w:pPr>
            <w:r w:rsidRPr="008407B1">
              <w:t>28.4(c)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5607" w14:textId="77777777" w:rsidR="00032AB3" w:rsidRPr="008407B1" w:rsidRDefault="00032AB3" w:rsidP="00F92305">
            <w:pPr>
              <w:spacing w:after="0" w:line="240" w:lineRule="auto"/>
              <w:jc w:val="center"/>
            </w:pPr>
            <w:r w:rsidRPr="008407B1">
              <w:t>1.8(a)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1912" w14:textId="77777777" w:rsidR="00032AB3" w:rsidRPr="008407B1" w:rsidRDefault="00032AB3" w:rsidP="00F92305">
            <w:pPr>
              <w:spacing w:after="0" w:line="240" w:lineRule="auto"/>
              <w:jc w:val="center"/>
            </w:pPr>
            <w:r w:rsidRPr="008407B1">
              <w:t>1.8(a)</w:t>
            </w:r>
          </w:p>
        </w:tc>
      </w:tr>
      <w:tr w:rsidR="00032AB3" w:rsidRPr="00F92305" w14:paraId="7AFED560" w14:textId="77777777" w:rsidTr="00032AB3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61BF0254" w14:textId="77777777" w:rsidR="00032AB3" w:rsidRPr="008407B1" w:rsidRDefault="00032AB3" w:rsidP="00F92305">
            <w:pPr>
              <w:spacing w:after="0" w:line="240" w:lineRule="auto"/>
            </w:pPr>
            <w:r>
              <w:t>Pulse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3E65" w14:textId="77777777" w:rsidR="00032AB3" w:rsidRPr="008407B1" w:rsidRDefault="00032AB3" w:rsidP="00F92305">
            <w:pPr>
              <w:spacing w:after="0" w:line="240" w:lineRule="auto"/>
            </w:pPr>
            <w:proofErr w:type="spellStart"/>
            <w:r w:rsidRPr="008407B1">
              <w:t>Faba</w:t>
            </w:r>
            <w:proofErr w:type="spellEnd"/>
            <w:r w:rsidRPr="008407B1">
              <w:t xml:space="preserve"> beans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A42B" w14:textId="77777777" w:rsidR="00032AB3" w:rsidRPr="008407B1" w:rsidRDefault="00032AB3" w:rsidP="00F92305">
            <w:pPr>
              <w:spacing w:after="0" w:line="240" w:lineRule="auto"/>
              <w:jc w:val="center"/>
            </w:pPr>
            <w:r w:rsidRPr="008407B1">
              <w:t>3.8(a)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1304" w14:textId="77777777" w:rsidR="00032AB3" w:rsidRPr="008407B1" w:rsidRDefault="00032AB3" w:rsidP="00F92305">
            <w:pPr>
              <w:spacing w:after="0" w:line="240" w:lineRule="auto"/>
              <w:jc w:val="center"/>
            </w:pPr>
            <w:r w:rsidRPr="008407B1">
              <w:t>9.6(a)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2AA3" w14:textId="77777777" w:rsidR="00032AB3" w:rsidRPr="008407B1" w:rsidRDefault="00032AB3" w:rsidP="00F92305">
            <w:pPr>
              <w:spacing w:after="0" w:line="240" w:lineRule="auto"/>
              <w:jc w:val="center"/>
            </w:pPr>
            <w:r w:rsidRPr="008407B1">
              <w:t>1.5(a)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932D" w14:textId="77777777" w:rsidR="00032AB3" w:rsidRPr="008407B1" w:rsidRDefault="00032AB3" w:rsidP="00F92305">
            <w:pPr>
              <w:spacing w:after="0" w:line="240" w:lineRule="auto"/>
              <w:jc w:val="center"/>
            </w:pPr>
            <w:r w:rsidRPr="008407B1">
              <w:t>2.0(a)</w:t>
            </w:r>
          </w:p>
        </w:tc>
      </w:tr>
      <w:tr w:rsidR="00032AB3" w:rsidRPr="00F92305" w14:paraId="4D700140" w14:textId="77777777" w:rsidTr="00032AB3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1D4CAE47" w14:textId="77777777" w:rsidR="00032AB3" w:rsidRPr="008407B1" w:rsidRDefault="00032AB3" w:rsidP="00F92305">
            <w:pPr>
              <w:spacing w:after="0" w:line="240" w:lineRule="auto"/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8A93" w14:textId="77777777" w:rsidR="00032AB3" w:rsidRPr="008407B1" w:rsidRDefault="00032AB3" w:rsidP="00F92305">
            <w:pPr>
              <w:spacing w:after="0" w:line="240" w:lineRule="auto"/>
            </w:pPr>
            <w:r w:rsidRPr="008407B1">
              <w:t>Lupins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E665" w14:textId="77777777" w:rsidR="00032AB3" w:rsidRPr="008407B1" w:rsidRDefault="00032AB3" w:rsidP="00F92305">
            <w:pPr>
              <w:spacing w:after="0" w:line="240" w:lineRule="auto"/>
              <w:jc w:val="center"/>
            </w:pPr>
            <w:r w:rsidRPr="008407B1">
              <w:t>4.1(a)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84FD" w14:textId="77777777" w:rsidR="00032AB3" w:rsidRPr="008407B1" w:rsidRDefault="00032AB3" w:rsidP="00F92305">
            <w:pPr>
              <w:spacing w:after="0" w:line="240" w:lineRule="auto"/>
              <w:jc w:val="center"/>
            </w:pPr>
            <w:r w:rsidRPr="008407B1">
              <w:t>9.0(a)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9EA6" w14:textId="77777777" w:rsidR="00032AB3" w:rsidRPr="008407B1" w:rsidRDefault="00032AB3" w:rsidP="00F92305">
            <w:pPr>
              <w:spacing w:after="0" w:line="240" w:lineRule="auto"/>
              <w:jc w:val="center"/>
            </w:pPr>
            <w:r w:rsidRPr="008407B1">
              <w:t>1.4(a)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1DBE" w14:textId="77777777" w:rsidR="00032AB3" w:rsidRPr="008407B1" w:rsidRDefault="00032AB3" w:rsidP="00F92305">
            <w:pPr>
              <w:spacing w:after="0" w:line="240" w:lineRule="auto"/>
              <w:jc w:val="center"/>
            </w:pPr>
            <w:r w:rsidRPr="008407B1">
              <w:t>1.7(a)</w:t>
            </w:r>
          </w:p>
        </w:tc>
      </w:tr>
      <w:tr w:rsidR="00032AB3" w:rsidRPr="00F92305" w14:paraId="5230DA6B" w14:textId="77777777" w:rsidTr="00032AB3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CDE92" w14:textId="77777777" w:rsidR="00032AB3" w:rsidRPr="008407B1" w:rsidRDefault="00032AB3" w:rsidP="00F92305">
            <w:pPr>
              <w:spacing w:after="0" w:line="240" w:lineRule="auto"/>
            </w:pPr>
            <w:r>
              <w:t>Pasture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37D94" w14:textId="77777777" w:rsidR="00032AB3" w:rsidRPr="008407B1" w:rsidRDefault="00032AB3" w:rsidP="00F92305">
            <w:pPr>
              <w:spacing w:after="0" w:line="240" w:lineRule="auto"/>
            </w:pPr>
            <w:r w:rsidRPr="008407B1">
              <w:t>Serradella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557E2" w14:textId="77777777" w:rsidR="00032AB3" w:rsidRPr="008407B1" w:rsidRDefault="00032AB3" w:rsidP="00F92305">
            <w:pPr>
              <w:spacing w:after="0" w:line="240" w:lineRule="auto"/>
              <w:jc w:val="center"/>
            </w:pPr>
            <w:r w:rsidRPr="008407B1">
              <w:t>8.0(b)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926A8" w14:textId="77777777" w:rsidR="00032AB3" w:rsidRPr="008407B1" w:rsidRDefault="00032AB3" w:rsidP="00F92305">
            <w:pPr>
              <w:spacing w:after="0" w:line="240" w:lineRule="auto"/>
              <w:jc w:val="center"/>
            </w:pPr>
            <w:r w:rsidRPr="008407B1">
              <w:t>16.3(b)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CE5A7" w14:textId="77777777" w:rsidR="00032AB3" w:rsidRPr="008407B1" w:rsidRDefault="00032AB3" w:rsidP="00F92305">
            <w:pPr>
              <w:spacing w:after="0" w:line="240" w:lineRule="auto"/>
              <w:jc w:val="center"/>
            </w:pPr>
            <w:r w:rsidRPr="008407B1">
              <w:t>1.3(a)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323C9" w14:textId="77777777" w:rsidR="00032AB3" w:rsidRPr="008407B1" w:rsidRDefault="00032AB3" w:rsidP="00F92305">
            <w:pPr>
              <w:spacing w:after="0" w:line="240" w:lineRule="auto"/>
              <w:jc w:val="center"/>
            </w:pPr>
            <w:r w:rsidRPr="008407B1">
              <w:t>1.8(a)</w:t>
            </w:r>
          </w:p>
        </w:tc>
      </w:tr>
    </w:tbl>
    <w:p w14:paraId="37381336" w14:textId="77777777" w:rsidR="00CA4B23" w:rsidRDefault="00CA4B23" w:rsidP="00897B1A">
      <w:pPr>
        <w:rPr>
          <w:u w:val="single"/>
        </w:rPr>
      </w:pPr>
      <w:r>
        <w:rPr>
          <w:rFonts w:cs="Arial"/>
          <w:sz w:val="16"/>
          <w:szCs w:val="16"/>
        </w:rPr>
        <w:t>^</w:t>
      </w:r>
      <w:r w:rsidRPr="00CA4B23">
        <w:rPr>
          <w:sz w:val="16"/>
          <w:szCs w:val="16"/>
        </w:rPr>
        <w:t>Different letters in each column represent significant difference (p&lt;0.10) using Fisher’s Protected LSD.</w:t>
      </w:r>
    </w:p>
    <w:p w14:paraId="7D45DE5F" w14:textId="77777777" w:rsidR="00EE152D" w:rsidRPr="000A783D" w:rsidRDefault="00EE152D" w:rsidP="00897B1A">
      <w:pPr>
        <w:rPr>
          <w:u w:val="single"/>
        </w:rPr>
      </w:pPr>
      <w:r w:rsidRPr="00322F38">
        <w:rPr>
          <w:u w:val="single"/>
        </w:rPr>
        <w:t xml:space="preserve">Calingiri </w:t>
      </w:r>
    </w:p>
    <w:p w14:paraId="7C70E7F5" w14:textId="77777777" w:rsidR="002256FA" w:rsidRDefault="00554155" w:rsidP="007F0F60">
      <w:r w:rsidRPr="00965CE3">
        <w:rPr>
          <w:i/>
          <w:iCs/>
          <w:szCs w:val="20"/>
          <w:lang w:val="en-GB"/>
        </w:rPr>
        <w:t xml:space="preserve">P. </w:t>
      </w:r>
      <w:proofErr w:type="spellStart"/>
      <w:r w:rsidRPr="00965CE3">
        <w:rPr>
          <w:i/>
          <w:iCs/>
          <w:szCs w:val="20"/>
          <w:lang w:val="en-GB"/>
        </w:rPr>
        <w:t>quasitereoides</w:t>
      </w:r>
      <w:proofErr w:type="spellEnd"/>
      <w:r w:rsidR="00F3426F" w:rsidRPr="00965CE3">
        <w:rPr>
          <w:i/>
          <w:iCs/>
          <w:szCs w:val="20"/>
          <w:lang w:val="en-GB"/>
        </w:rPr>
        <w:t xml:space="preserve"> </w:t>
      </w:r>
      <w:r w:rsidR="00F3426F" w:rsidRPr="00965CE3">
        <w:rPr>
          <w:iCs/>
          <w:szCs w:val="20"/>
          <w:lang w:val="en-GB"/>
        </w:rPr>
        <w:t>(av. 37 RLN/g soil)</w:t>
      </w:r>
      <w:r w:rsidRPr="00965CE3">
        <w:rPr>
          <w:i/>
          <w:iCs/>
          <w:szCs w:val="20"/>
          <w:lang w:val="en-GB"/>
        </w:rPr>
        <w:t xml:space="preserve">, </w:t>
      </w:r>
      <w:r w:rsidRPr="00965CE3">
        <w:rPr>
          <w:i/>
          <w:iCs/>
          <w:szCs w:val="20"/>
          <w:lang w:val="en-GB" w:eastAsia="en-AU"/>
        </w:rPr>
        <w:t>P. neglectus</w:t>
      </w:r>
      <w:r w:rsidRPr="00965CE3">
        <w:rPr>
          <w:i/>
          <w:iCs/>
          <w:sz w:val="21"/>
          <w:szCs w:val="21"/>
          <w:lang w:val="en-GB"/>
        </w:rPr>
        <w:t xml:space="preserve"> </w:t>
      </w:r>
      <w:r w:rsidR="00F3426F" w:rsidRPr="00965CE3">
        <w:rPr>
          <w:iCs/>
          <w:sz w:val="21"/>
          <w:szCs w:val="21"/>
          <w:lang w:val="en-GB"/>
        </w:rPr>
        <w:t>(</w:t>
      </w:r>
      <w:r w:rsidR="00F3426F" w:rsidRPr="00965CE3">
        <w:rPr>
          <w:iCs/>
          <w:szCs w:val="20"/>
          <w:lang w:val="en-GB"/>
        </w:rPr>
        <w:t xml:space="preserve">av. 1.7 RLN/g soil) </w:t>
      </w:r>
      <w:r w:rsidRPr="00965CE3">
        <w:rPr>
          <w:iCs/>
          <w:sz w:val="21"/>
          <w:szCs w:val="21"/>
          <w:lang w:val="en-GB"/>
        </w:rPr>
        <w:t>and</w:t>
      </w:r>
      <w:r w:rsidRPr="00965CE3">
        <w:t xml:space="preserve"> </w:t>
      </w:r>
      <w:r w:rsidRPr="00965CE3">
        <w:rPr>
          <w:i/>
        </w:rPr>
        <w:t xml:space="preserve">R. </w:t>
      </w:r>
      <w:proofErr w:type="spellStart"/>
      <w:r w:rsidRPr="00965CE3">
        <w:rPr>
          <w:i/>
        </w:rPr>
        <w:t>solani</w:t>
      </w:r>
      <w:proofErr w:type="spellEnd"/>
      <w:r w:rsidRPr="00965CE3">
        <w:t xml:space="preserve"> </w:t>
      </w:r>
      <w:r w:rsidR="00F3426F" w:rsidRPr="00965CE3">
        <w:t>(</w:t>
      </w:r>
      <w:r w:rsidR="00F3426F" w:rsidRPr="00965CE3">
        <w:rPr>
          <w:iCs/>
          <w:szCs w:val="20"/>
          <w:lang w:val="en-GB"/>
        </w:rPr>
        <w:t xml:space="preserve">av. 1.7 log </w:t>
      </w:r>
      <w:proofErr w:type="spellStart"/>
      <w:r w:rsidR="00F3426F" w:rsidRPr="00965CE3">
        <w:t>pgDNA</w:t>
      </w:r>
      <w:proofErr w:type="spellEnd"/>
      <w:r w:rsidR="00F3426F" w:rsidRPr="00965CE3">
        <w:t>/g</w:t>
      </w:r>
      <w:r w:rsidR="00F3426F" w:rsidRPr="00965CE3">
        <w:rPr>
          <w:iCs/>
          <w:szCs w:val="20"/>
          <w:lang w:val="en-GB"/>
        </w:rPr>
        <w:t xml:space="preserve">) levels </w:t>
      </w:r>
      <w:r w:rsidR="00965CE3" w:rsidRPr="00965CE3">
        <w:rPr>
          <w:iCs/>
          <w:szCs w:val="20"/>
          <w:lang w:val="en-GB"/>
        </w:rPr>
        <w:t xml:space="preserve">at sowing </w:t>
      </w:r>
      <w:r w:rsidR="00D6490B">
        <w:rPr>
          <w:iCs/>
          <w:szCs w:val="20"/>
          <w:lang w:val="en-GB"/>
        </w:rPr>
        <w:t>were at high (RLN’s combined) and medium (</w:t>
      </w:r>
      <w:r w:rsidR="00D6490B" w:rsidRPr="00965CE3">
        <w:rPr>
          <w:i/>
        </w:rPr>
        <w:t xml:space="preserve">R. </w:t>
      </w:r>
      <w:proofErr w:type="spellStart"/>
      <w:r w:rsidR="00D6490B" w:rsidRPr="00965CE3">
        <w:rPr>
          <w:i/>
        </w:rPr>
        <w:t>solani</w:t>
      </w:r>
      <w:proofErr w:type="spellEnd"/>
      <w:r w:rsidR="00D6490B">
        <w:rPr>
          <w:iCs/>
          <w:szCs w:val="20"/>
          <w:lang w:val="en-GB"/>
        </w:rPr>
        <w:t xml:space="preserve">) </w:t>
      </w:r>
      <w:r w:rsidR="00F3426F" w:rsidRPr="00965CE3">
        <w:rPr>
          <w:iCs/>
          <w:szCs w:val="20"/>
          <w:lang w:val="en-GB"/>
        </w:rPr>
        <w:t xml:space="preserve">risk of yield loss </w:t>
      </w:r>
      <w:r w:rsidR="00FA09D4">
        <w:rPr>
          <w:iCs/>
          <w:szCs w:val="20"/>
          <w:lang w:val="en-GB"/>
        </w:rPr>
        <w:t>for</w:t>
      </w:r>
      <w:r w:rsidR="00FA09D4" w:rsidRPr="00965CE3">
        <w:rPr>
          <w:iCs/>
          <w:szCs w:val="20"/>
          <w:lang w:val="en-GB"/>
        </w:rPr>
        <w:t xml:space="preserve"> </w:t>
      </w:r>
      <w:r w:rsidR="00F3426F" w:rsidRPr="00965CE3">
        <w:rPr>
          <w:iCs/>
          <w:szCs w:val="20"/>
          <w:lang w:val="en-GB"/>
        </w:rPr>
        <w:t xml:space="preserve">wheat (Table 1). RLN and </w:t>
      </w:r>
      <w:r w:rsidR="00F3426F" w:rsidRPr="00965CE3">
        <w:rPr>
          <w:i/>
        </w:rPr>
        <w:t xml:space="preserve">R. </w:t>
      </w:r>
      <w:proofErr w:type="spellStart"/>
      <w:r w:rsidR="00F3426F" w:rsidRPr="00965CE3">
        <w:rPr>
          <w:i/>
        </w:rPr>
        <w:t>solani</w:t>
      </w:r>
      <w:proofErr w:type="spellEnd"/>
      <w:r w:rsidR="00F81D28" w:rsidRPr="00965CE3">
        <w:rPr>
          <w:iCs/>
          <w:szCs w:val="20"/>
          <w:lang w:val="en-GB"/>
        </w:rPr>
        <w:t xml:space="preserve"> </w:t>
      </w:r>
      <w:r w:rsidR="00FA09D4">
        <w:rPr>
          <w:iCs/>
          <w:szCs w:val="20"/>
          <w:lang w:val="en-GB"/>
        </w:rPr>
        <w:t xml:space="preserve">levels </w:t>
      </w:r>
      <w:r w:rsidR="00F3426F" w:rsidRPr="00965CE3">
        <w:rPr>
          <w:iCs/>
          <w:szCs w:val="20"/>
          <w:lang w:val="en-GB"/>
        </w:rPr>
        <w:t xml:space="preserve">were </w:t>
      </w:r>
      <w:r w:rsidR="002256FA" w:rsidRPr="00965CE3">
        <w:rPr>
          <w:iCs/>
          <w:szCs w:val="20"/>
          <w:lang w:val="en-GB"/>
        </w:rPr>
        <w:t xml:space="preserve">also </w:t>
      </w:r>
      <w:r w:rsidR="00F3426F" w:rsidRPr="00965CE3">
        <w:rPr>
          <w:iCs/>
          <w:szCs w:val="20"/>
          <w:lang w:val="en-GB"/>
        </w:rPr>
        <w:t xml:space="preserve">consistent </w:t>
      </w:r>
      <w:r w:rsidR="00CB44EF" w:rsidRPr="00965CE3">
        <w:t xml:space="preserve">across the treatment plots </w:t>
      </w:r>
      <w:r w:rsidR="00FA09D4">
        <w:t>before</w:t>
      </w:r>
      <w:r w:rsidR="00CB44EF" w:rsidRPr="00965CE3">
        <w:t xml:space="preserve"> sowing</w:t>
      </w:r>
      <w:r w:rsidR="00F3426F" w:rsidRPr="00965CE3">
        <w:t xml:space="preserve"> (p&gt;0.10)</w:t>
      </w:r>
      <w:r w:rsidR="00CB44EF" w:rsidRPr="00965CE3">
        <w:t>.</w:t>
      </w:r>
      <w:r w:rsidR="00CB44EF">
        <w:t xml:space="preserve"> </w:t>
      </w:r>
    </w:p>
    <w:p w14:paraId="127F8F2D" w14:textId="77777777" w:rsidR="007F0F60" w:rsidRPr="00322F38" w:rsidRDefault="00554155" w:rsidP="00322F38">
      <w:r>
        <w:t>A</w:t>
      </w:r>
      <w:r w:rsidR="00C206F6">
        <w:t xml:space="preserve">t harvest, </w:t>
      </w:r>
      <w:r w:rsidR="00C206F6" w:rsidRPr="00C206F6">
        <w:rPr>
          <w:i/>
        </w:rPr>
        <w:t xml:space="preserve">P. </w:t>
      </w:r>
      <w:proofErr w:type="spellStart"/>
      <w:r w:rsidR="00C206F6" w:rsidRPr="00C206F6">
        <w:rPr>
          <w:i/>
        </w:rPr>
        <w:t>quasitereoides</w:t>
      </w:r>
      <w:proofErr w:type="spellEnd"/>
      <w:r w:rsidR="00C206F6">
        <w:t xml:space="preserve"> levels were significantly </w:t>
      </w:r>
      <w:r w:rsidR="00BE4C49">
        <w:t xml:space="preserve">(p&lt;0.10) </w:t>
      </w:r>
      <w:r w:rsidR="00C206F6">
        <w:t>lower in the chickpea, pasture legume</w:t>
      </w:r>
      <w:r w:rsidR="0002539D">
        <w:t>s</w:t>
      </w:r>
      <w:r w:rsidR="00C206F6">
        <w:t xml:space="preserve"> and fallow plots</w:t>
      </w:r>
      <w:r w:rsidR="002918D4">
        <w:t xml:space="preserve"> (Table </w:t>
      </w:r>
      <w:r w:rsidR="00AB244D">
        <w:t>7</w:t>
      </w:r>
      <w:r w:rsidR="002918D4">
        <w:t>)</w:t>
      </w:r>
      <w:r w:rsidR="00C206F6">
        <w:t xml:space="preserve">. </w:t>
      </w:r>
      <w:r w:rsidRPr="00BE4C49">
        <w:rPr>
          <w:i/>
        </w:rPr>
        <w:t>P. neglectus</w:t>
      </w:r>
      <w:r>
        <w:t xml:space="preserve"> was present at the site at much lower levels than </w:t>
      </w:r>
      <w:r w:rsidRPr="00554155">
        <w:rPr>
          <w:i/>
          <w:iCs/>
          <w:szCs w:val="20"/>
          <w:lang w:val="en-GB"/>
        </w:rPr>
        <w:t xml:space="preserve">P. </w:t>
      </w:r>
      <w:proofErr w:type="spellStart"/>
      <w:r w:rsidRPr="00554155">
        <w:rPr>
          <w:i/>
          <w:iCs/>
          <w:szCs w:val="20"/>
          <w:lang w:val="en-GB"/>
        </w:rPr>
        <w:t>quasitereoides</w:t>
      </w:r>
      <w:proofErr w:type="spellEnd"/>
      <w:r>
        <w:rPr>
          <w:iCs/>
          <w:szCs w:val="20"/>
          <w:lang w:val="en-GB"/>
        </w:rPr>
        <w:t xml:space="preserve"> and levels did not change significantly over the season </w:t>
      </w:r>
      <w:r>
        <w:t>(p&gt;0.10)</w:t>
      </w:r>
      <w:r w:rsidR="00BE4C49">
        <w:t xml:space="preserve">. </w:t>
      </w:r>
      <w:r w:rsidR="00BE4C49" w:rsidRPr="009D2934">
        <w:rPr>
          <w:i/>
        </w:rPr>
        <w:t xml:space="preserve">R. </w:t>
      </w:r>
      <w:proofErr w:type="spellStart"/>
      <w:r w:rsidR="00BE4C49" w:rsidRPr="009D2934">
        <w:rPr>
          <w:i/>
        </w:rPr>
        <w:t>solani</w:t>
      </w:r>
      <w:proofErr w:type="spellEnd"/>
      <w:r w:rsidR="00BE4C49">
        <w:t xml:space="preserve"> levels were not significantly (</w:t>
      </w:r>
      <w:r w:rsidR="009D2934">
        <w:t>p&gt;</w:t>
      </w:r>
      <w:r w:rsidR="00BE4C49">
        <w:t xml:space="preserve">0.10) different at sowing, but at harvest the levels were significantly (p&lt;0.10) higher in the cereals </w:t>
      </w:r>
      <w:r w:rsidR="00FA4B8F">
        <w:t xml:space="preserve">than </w:t>
      </w:r>
      <w:r w:rsidR="00BE4C49">
        <w:t>the other treatments.</w:t>
      </w:r>
      <w:r w:rsidR="00322F38">
        <w:t xml:space="preserve"> Lupin and </w:t>
      </w:r>
      <w:proofErr w:type="spellStart"/>
      <w:r w:rsidR="00322F38">
        <w:t>subclover</w:t>
      </w:r>
      <w:proofErr w:type="spellEnd"/>
      <w:r w:rsidR="00322F38">
        <w:t xml:space="preserve"> had the lowest levels of </w:t>
      </w:r>
      <w:r w:rsidR="00322F38" w:rsidRPr="009D2934">
        <w:rPr>
          <w:i/>
        </w:rPr>
        <w:t xml:space="preserve">R. </w:t>
      </w:r>
      <w:proofErr w:type="spellStart"/>
      <w:r w:rsidR="00322F38" w:rsidRPr="009D2934">
        <w:rPr>
          <w:i/>
        </w:rPr>
        <w:t>solani</w:t>
      </w:r>
      <w:proofErr w:type="spellEnd"/>
      <w:r w:rsidR="00322F38">
        <w:t xml:space="preserve"> at the end of season. </w:t>
      </w:r>
    </w:p>
    <w:p w14:paraId="42A47DD9" w14:textId="77777777" w:rsidR="00F81D28" w:rsidRDefault="00F81D28">
      <w:pPr>
        <w:spacing w:after="160"/>
        <w:rPr>
          <w:b/>
        </w:rPr>
      </w:pPr>
      <w:r>
        <w:rPr>
          <w:b/>
        </w:rPr>
        <w:br w:type="page"/>
      </w:r>
    </w:p>
    <w:p w14:paraId="3B7CD921" w14:textId="77777777" w:rsidR="00EE152D" w:rsidRPr="00171600" w:rsidRDefault="00EE152D" w:rsidP="007F0F60">
      <w:pPr>
        <w:rPr>
          <w:b/>
          <w:sz w:val="22"/>
        </w:rPr>
      </w:pPr>
      <w:r w:rsidRPr="00171600">
        <w:rPr>
          <w:b/>
          <w:sz w:val="22"/>
        </w:rPr>
        <w:t xml:space="preserve">Table </w:t>
      </w:r>
      <w:r w:rsidR="00AB244D" w:rsidRPr="00171600">
        <w:rPr>
          <w:b/>
          <w:sz w:val="22"/>
        </w:rPr>
        <w:t>7</w:t>
      </w:r>
      <w:r w:rsidRPr="00171600">
        <w:rPr>
          <w:b/>
          <w:sz w:val="22"/>
        </w:rPr>
        <w:t xml:space="preserve">. </w:t>
      </w:r>
      <w:proofErr w:type="spellStart"/>
      <w:r w:rsidR="00BE4C49" w:rsidRPr="00171600">
        <w:rPr>
          <w:b/>
          <w:i/>
          <w:sz w:val="22"/>
        </w:rPr>
        <w:t>Pratylenchus</w:t>
      </w:r>
      <w:proofErr w:type="spellEnd"/>
      <w:r w:rsidR="00BE4C49" w:rsidRPr="00171600">
        <w:rPr>
          <w:b/>
          <w:i/>
          <w:sz w:val="22"/>
        </w:rPr>
        <w:t xml:space="preserve"> neglectus </w:t>
      </w:r>
      <w:r w:rsidR="00BE4C49" w:rsidRPr="00171600">
        <w:rPr>
          <w:b/>
          <w:sz w:val="22"/>
        </w:rPr>
        <w:t xml:space="preserve">(RLN/g soil), </w:t>
      </w:r>
      <w:r w:rsidR="00BE4C49" w:rsidRPr="00171600">
        <w:rPr>
          <w:b/>
          <w:i/>
          <w:sz w:val="22"/>
        </w:rPr>
        <w:t xml:space="preserve">P. </w:t>
      </w:r>
      <w:proofErr w:type="spellStart"/>
      <w:r w:rsidR="00BE4C49" w:rsidRPr="00171600">
        <w:rPr>
          <w:b/>
          <w:i/>
          <w:sz w:val="22"/>
        </w:rPr>
        <w:t>quasitereoides</w:t>
      </w:r>
      <w:proofErr w:type="spellEnd"/>
      <w:r w:rsidR="00BE4C49" w:rsidRPr="00171600">
        <w:rPr>
          <w:b/>
          <w:sz w:val="22"/>
        </w:rPr>
        <w:t xml:space="preserve"> (RLN/g soil) and </w:t>
      </w:r>
      <w:r w:rsidR="00BE4C49" w:rsidRPr="00171600">
        <w:rPr>
          <w:b/>
          <w:i/>
          <w:sz w:val="22"/>
        </w:rPr>
        <w:t xml:space="preserve">Rhizoctonia </w:t>
      </w:r>
      <w:proofErr w:type="spellStart"/>
      <w:r w:rsidR="00BE4C49" w:rsidRPr="00171600">
        <w:rPr>
          <w:b/>
          <w:i/>
          <w:sz w:val="22"/>
        </w:rPr>
        <w:t>solani</w:t>
      </w:r>
      <w:proofErr w:type="spellEnd"/>
      <w:r w:rsidR="00BE4C49" w:rsidRPr="00171600">
        <w:rPr>
          <w:b/>
          <w:sz w:val="22"/>
        </w:rPr>
        <w:t xml:space="preserve"> AG8 (log </w:t>
      </w:r>
      <w:proofErr w:type="spellStart"/>
      <w:r w:rsidR="00BE4C49" w:rsidRPr="00171600">
        <w:rPr>
          <w:b/>
          <w:sz w:val="22"/>
        </w:rPr>
        <w:t>pgDNA</w:t>
      </w:r>
      <w:proofErr w:type="spellEnd"/>
      <w:r w:rsidR="00BE4C49" w:rsidRPr="00171600">
        <w:rPr>
          <w:b/>
          <w:sz w:val="22"/>
        </w:rPr>
        <w:t>/g soil</w:t>
      </w:r>
      <w:r w:rsidR="00FA09D4">
        <w:rPr>
          <w:b/>
          <w:sz w:val="22"/>
        </w:rPr>
        <w:t>)</w:t>
      </w:r>
      <w:r w:rsidR="00BE4C49" w:rsidRPr="00171600">
        <w:rPr>
          <w:b/>
          <w:sz w:val="22"/>
        </w:rPr>
        <w:t xml:space="preserve"> levels at</w:t>
      </w:r>
      <w:r w:rsidRPr="00171600">
        <w:rPr>
          <w:b/>
          <w:sz w:val="22"/>
        </w:rPr>
        <w:t xml:space="preserve"> harvest (</w:t>
      </w:r>
      <w:proofErr w:type="spellStart"/>
      <w:r w:rsidRPr="00171600">
        <w:rPr>
          <w:b/>
          <w:sz w:val="22"/>
        </w:rPr>
        <w:t>Pf</w:t>
      </w:r>
      <w:proofErr w:type="spellEnd"/>
      <w:r w:rsidRPr="00171600">
        <w:rPr>
          <w:b/>
          <w:sz w:val="22"/>
        </w:rPr>
        <w:t>)</w:t>
      </w:r>
      <w:r w:rsidR="003D50A3" w:rsidRPr="00171600">
        <w:rPr>
          <w:b/>
          <w:sz w:val="22"/>
        </w:rPr>
        <w:t xml:space="preserve"> at Calingiri in 2019</w:t>
      </w:r>
      <w:r w:rsidRPr="00171600">
        <w:rPr>
          <w:b/>
          <w:sz w:val="22"/>
        </w:rPr>
        <w:t>.</w:t>
      </w:r>
      <w:r w:rsidR="00145E14" w:rsidRPr="00171600">
        <w:rPr>
          <w:b/>
          <w:sz w:val="22"/>
        </w:rPr>
        <w:t xml:space="preserve"> </w:t>
      </w:r>
    </w:p>
    <w:tbl>
      <w:tblPr>
        <w:tblW w:w="9465" w:type="dxa"/>
        <w:tblLook w:val="04A0" w:firstRow="1" w:lastRow="0" w:firstColumn="1" w:lastColumn="0" w:noHBand="0" w:noVBand="1"/>
      </w:tblPr>
      <w:tblGrid>
        <w:gridCol w:w="1392"/>
        <w:gridCol w:w="1682"/>
        <w:gridCol w:w="2360"/>
        <w:gridCol w:w="1827"/>
        <w:gridCol w:w="2204"/>
      </w:tblGrid>
      <w:tr w:rsidR="002256FA" w:rsidRPr="002256FA" w14:paraId="2F7D2C08" w14:textId="77777777" w:rsidTr="002256FA">
        <w:trPr>
          <w:trHeight w:val="339"/>
        </w:trPr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A506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AF72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48135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b/>
                <w:bCs/>
                <w:i/>
                <w:iCs/>
                <w:color w:val="404040"/>
                <w:szCs w:val="20"/>
                <w:lang w:eastAsia="en-AU"/>
              </w:rPr>
              <w:t xml:space="preserve">P. </w:t>
            </w:r>
            <w:proofErr w:type="spellStart"/>
            <w:r w:rsidRPr="002256FA">
              <w:rPr>
                <w:rFonts w:eastAsia="Times New Roman" w:cs="Arial"/>
                <w:b/>
                <w:bCs/>
                <w:i/>
                <w:iCs/>
                <w:color w:val="404040"/>
                <w:szCs w:val="20"/>
                <w:lang w:eastAsia="en-AU"/>
              </w:rPr>
              <w:t>quasitereoides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8B18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b/>
                <w:bCs/>
                <w:i/>
                <w:iCs/>
                <w:color w:val="404040"/>
                <w:szCs w:val="20"/>
                <w:lang w:eastAsia="en-AU"/>
              </w:rPr>
              <w:t>P. neglectus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E0470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b/>
                <w:bCs/>
                <w:i/>
                <w:iCs/>
                <w:color w:val="404040"/>
                <w:szCs w:val="20"/>
                <w:lang w:eastAsia="en-AU"/>
              </w:rPr>
              <w:t xml:space="preserve">R. </w:t>
            </w:r>
            <w:proofErr w:type="spellStart"/>
            <w:r w:rsidRPr="002256FA">
              <w:rPr>
                <w:rFonts w:eastAsia="Times New Roman" w:cs="Arial"/>
                <w:b/>
                <w:bCs/>
                <w:i/>
                <w:iCs/>
                <w:color w:val="404040"/>
                <w:szCs w:val="20"/>
                <w:lang w:eastAsia="en-AU"/>
              </w:rPr>
              <w:t>solani</w:t>
            </w:r>
            <w:proofErr w:type="spellEnd"/>
          </w:p>
        </w:tc>
      </w:tr>
      <w:tr w:rsidR="00680260" w:rsidRPr="002256FA" w14:paraId="35BE57C2" w14:textId="77777777" w:rsidTr="002256FA">
        <w:trPr>
          <w:trHeight w:val="601"/>
        </w:trPr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F0598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  <w:t>Crop Type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69E7E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  <w:t>Crop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B0E6F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</w:pPr>
            <w:proofErr w:type="spellStart"/>
            <w:r w:rsidRPr="002256FA"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  <w:t>Pf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576D0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</w:pPr>
            <w:proofErr w:type="spellStart"/>
            <w:r w:rsidRPr="002256FA"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  <w:t>Pf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BF622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</w:pPr>
            <w:proofErr w:type="spellStart"/>
            <w:r w:rsidRPr="002256FA">
              <w:rPr>
                <w:rFonts w:eastAsia="Times New Roman" w:cs="Arial"/>
                <w:b/>
                <w:bCs/>
                <w:color w:val="404040"/>
                <w:szCs w:val="20"/>
                <w:lang w:eastAsia="en-AU"/>
              </w:rPr>
              <w:t>Pf</w:t>
            </w:r>
            <w:proofErr w:type="spellEnd"/>
          </w:p>
        </w:tc>
      </w:tr>
      <w:tr w:rsidR="00680260" w:rsidRPr="002256FA" w14:paraId="51357CA1" w14:textId="77777777" w:rsidTr="002256FA">
        <w:trPr>
          <w:trHeight w:val="32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8C69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Pasture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774D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Serradella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B909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12(a)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75F8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1.8(a)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93EB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2.0(ab)</w:t>
            </w:r>
          </w:p>
        </w:tc>
      </w:tr>
      <w:tr w:rsidR="00680260" w:rsidRPr="002256FA" w14:paraId="658DEEA1" w14:textId="77777777" w:rsidTr="002256FA">
        <w:trPr>
          <w:trHeight w:val="32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19AA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34D2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color w:val="404040"/>
                <w:szCs w:val="20"/>
                <w:lang w:eastAsia="en-AU"/>
              </w:rPr>
            </w:pPr>
            <w:proofErr w:type="spellStart"/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Subclover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409F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9(a)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CF8E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1.9(a)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5279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1.9(a)</w:t>
            </w:r>
          </w:p>
        </w:tc>
      </w:tr>
      <w:tr w:rsidR="00680260" w:rsidRPr="002256FA" w14:paraId="218A2D6C" w14:textId="77777777" w:rsidTr="002256FA">
        <w:trPr>
          <w:trHeight w:val="32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8E4D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E476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Vetch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3718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15(a)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5E58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3.4(a)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52DF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2.3(b)</w:t>
            </w:r>
          </w:p>
        </w:tc>
      </w:tr>
      <w:tr w:rsidR="00680260" w:rsidRPr="002256FA" w14:paraId="36B3DA8E" w14:textId="77777777" w:rsidTr="002256FA">
        <w:trPr>
          <w:trHeight w:val="32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5E1A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Pulse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EB6E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Chickpea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A897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15(a)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6339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2.0(a)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6EA8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1.9(a)</w:t>
            </w:r>
          </w:p>
        </w:tc>
      </w:tr>
      <w:tr w:rsidR="00680260" w:rsidRPr="002256FA" w14:paraId="219A0328" w14:textId="77777777" w:rsidTr="002256FA">
        <w:trPr>
          <w:trHeight w:val="32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43EB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490A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Lupin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E716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23(b)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2AC2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1.5(a)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2061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2.3(b)</w:t>
            </w:r>
          </w:p>
        </w:tc>
      </w:tr>
      <w:tr w:rsidR="00680260" w:rsidRPr="002256FA" w14:paraId="1AD6555B" w14:textId="77777777" w:rsidTr="002256FA">
        <w:trPr>
          <w:trHeight w:val="32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C7CF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Fallow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2579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Fallow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3B31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13(a)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B565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1.0(a)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C16E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2.0(a)</w:t>
            </w:r>
          </w:p>
        </w:tc>
      </w:tr>
      <w:tr w:rsidR="00680260" w:rsidRPr="002256FA" w14:paraId="15B0D191" w14:textId="77777777" w:rsidTr="002256FA">
        <w:trPr>
          <w:trHeight w:val="32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46F9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Oilseed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79CE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Canola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81EC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28(b)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E30C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1.2(a)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1290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1.9(a)</w:t>
            </w:r>
          </w:p>
        </w:tc>
      </w:tr>
      <w:tr w:rsidR="00680260" w:rsidRPr="002256FA" w14:paraId="793F6495" w14:textId="77777777" w:rsidTr="002256FA">
        <w:trPr>
          <w:trHeight w:val="32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6471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Cereals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28CE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Barley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33F0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25(b)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5481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1.2(a)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BC4B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2.6(c)</w:t>
            </w:r>
          </w:p>
        </w:tc>
      </w:tr>
      <w:tr w:rsidR="002256FA" w:rsidRPr="002256FA" w14:paraId="30D44739" w14:textId="77777777" w:rsidTr="002256FA">
        <w:trPr>
          <w:trHeight w:val="326"/>
        </w:trPr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9215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DD1C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Wheat</w:t>
            </w:r>
          </w:p>
        </w:tc>
        <w:tc>
          <w:tcPr>
            <w:tcW w:w="2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5ED4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32(</w:t>
            </w:r>
            <w:proofErr w:type="spellStart"/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bc</w:t>
            </w:r>
            <w:proofErr w:type="spellEnd"/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)</w:t>
            </w:r>
          </w:p>
        </w:tc>
        <w:tc>
          <w:tcPr>
            <w:tcW w:w="1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B4D1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5.6(a)</w:t>
            </w: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B2E8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2.5(c)</w:t>
            </w:r>
          </w:p>
        </w:tc>
      </w:tr>
      <w:tr w:rsidR="002256FA" w:rsidRPr="002256FA" w14:paraId="5249416B" w14:textId="77777777" w:rsidTr="002256FA">
        <w:trPr>
          <w:trHeight w:val="339"/>
        </w:trPr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D207C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 </w:t>
            </w:r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41987" w14:textId="77777777" w:rsidR="002256FA" w:rsidRPr="002256FA" w:rsidRDefault="002256FA" w:rsidP="002256FA">
            <w:pPr>
              <w:spacing w:after="0" w:line="240" w:lineRule="auto"/>
              <w:contextualSpacing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Oat</w:t>
            </w:r>
          </w:p>
        </w:tc>
        <w:tc>
          <w:tcPr>
            <w:tcW w:w="2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19C5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38(c)</w:t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D9095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1.7(a)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05AD3" w14:textId="77777777" w:rsidR="002256FA" w:rsidRPr="002256FA" w:rsidRDefault="002256FA" w:rsidP="002256F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404040"/>
                <w:szCs w:val="20"/>
                <w:lang w:eastAsia="en-AU"/>
              </w:rPr>
            </w:pPr>
            <w:r w:rsidRPr="002256FA">
              <w:rPr>
                <w:rFonts w:eastAsia="Times New Roman" w:cs="Arial"/>
                <w:color w:val="404040"/>
                <w:szCs w:val="20"/>
                <w:lang w:eastAsia="en-AU"/>
              </w:rPr>
              <w:t>2.6(c)</w:t>
            </w:r>
          </w:p>
        </w:tc>
      </w:tr>
    </w:tbl>
    <w:p w14:paraId="5F5F8DF2" w14:textId="77777777" w:rsidR="00F92305" w:rsidRDefault="00CA4B23" w:rsidP="007F0F60">
      <w:r>
        <w:rPr>
          <w:rFonts w:cs="Arial"/>
        </w:rPr>
        <w:t>^</w:t>
      </w:r>
      <w:r w:rsidRPr="00CA4B23">
        <w:rPr>
          <w:sz w:val="16"/>
          <w:szCs w:val="16"/>
        </w:rPr>
        <w:t>Different letters in each column represent significant difference (p&lt;0.10) using Fisher’s Protected LSD.</w:t>
      </w:r>
    </w:p>
    <w:p w14:paraId="6FD56237" w14:textId="77777777" w:rsidR="008C6588" w:rsidRDefault="003B6DA6" w:rsidP="008F2638">
      <w:pPr>
        <w:pStyle w:val="Heading2"/>
      </w:pPr>
      <w:r w:rsidRPr="008F2638">
        <w:t>C</w:t>
      </w:r>
      <w:r w:rsidR="008C6588" w:rsidRPr="008F2638">
        <w:t>onclusion</w:t>
      </w:r>
    </w:p>
    <w:p w14:paraId="6825C7FF" w14:textId="77777777" w:rsidR="00405AB2" w:rsidRDefault="00CA26E1" w:rsidP="00897B1A">
      <w:r>
        <w:t>In general</w:t>
      </w:r>
      <w:r w:rsidR="00FA09D4">
        <w:t>,</w:t>
      </w:r>
      <w:r w:rsidR="00405AB2">
        <w:t xml:space="preserve"> RLN levels were </w:t>
      </w:r>
      <w:r>
        <w:t xml:space="preserve">lower </w:t>
      </w:r>
      <w:r w:rsidR="00405AB2">
        <w:t>under fallow</w:t>
      </w:r>
      <w:r>
        <w:t xml:space="preserve">, </w:t>
      </w:r>
      <w:r w:rsidR="000E6594">
        <w:t>pulses</w:t>
      </w:r>
      <w:r>
        <w:t xml:space="preserve"> and pastures and higher under cereals and canola</w:t>
      </w:r>
      <w:r w:rsidR="00405AB2">
        <w:t xml:space="preserve">. </w:t>
      </w:r>
      <w:r w:rsidR="00DF0F66">
        <w:t>After the</w:t>
      </w:r>
      <w:r w:rsidR="006D1B02">
        <w:t xml:space="preserve"> Grass Valley </w:t>
      </w:r>
      <w:r w:rsidR="00DF0F66">
        <w:t xml:space="preserve">site </w:t>
      </w:r>
      <w:r w:rsidR="00405AB2">
        <w:t>was</w:t>
      </w:r>
      <w:r w:rsidR="006D1B02">
        <w:t xml:space="preserve"> </w:t>
      </w:r>
      <w:r w:rsidR="00405AB2">
        <w:t>over</w:t>
      </w:r>
      <w:r w:rsidR="00FA09D4">
        <w:t>-</w:t>
      </w:r>
      <w:r w:rsidR="00405AB2">
        <w:t xml:space="preserve">sown with wheat in 2019, the 2018 </w:t>
      </w:r>
      <w:r w:rsidR="00190325">
        <w:t>pasture, pulse a</w:t>
      </w:r>
      <w:r w:rsidR="00405AB2">
        <w:t xml:space="preserve">nd fallow treatments all yielded </w:t>
      </w:r>
      <w:r w:rsidR="00FA09D4">
        <w:t xml:space="preserve">more </w:t>
      </w:r>
      <w:r w:rsidR="00405AB2">
        <w:t>than the 2018 cereal treatments</w:t>
      </w:r>
      <w:r w:rsidR="002A6010">
        <w:t xml:space="preserve"> and </w:t>
      </w:r>
      <w:r w:rsidR="00FA09D4">
        <w:t xml:space="preserve">the </w:t>
      </w:r>
      <w:r w:rsidR="002A6010">
        <w:t>h</w:t>
      </w:r>
      <w:r w:rsidR="002918D4">
        <w:t xml:space="preserve">igher grain yields were correlated </w:t>
      </w:r>
      <w:r w:rsidR="00405B93">
        <w:t xml:space="preserve">(simple linear regression) </w:t>
      </w:r>
      <w:r w:rsidR="002918D4">
        <w:t xml:space="preserve">with low levels of </w:t>
      </w:r>
      <w:r w:rsidR="002918D4" w:rsidRPr="002918D4">
        <w:rPr>
          <w:i/>
        </w:rPr>
        <w:t xml:space="preserve">P. </w:t>
      </w:r>
      <w:proofErr w:type="spellStart"/>
      <w:r w:rsidR="002918D4" w:rsidRPr="002918D4">
        <w:rPr>
          <w:i/>
        </w:rPr>
        <w:t>quasitereoides</w:t>
      </w:r>
      <w:proofErr w:type="spellEnd"/>
      <w:r w:rsidR="002918D4">
        <w:t xml:space="preserve"> at the </w:t>
      </w:r>
      <w:r w:rsidR="00FA09D4">
        <w:t xml:space="preserve">start </w:t>
      </w:r>
      <w:r w:rsidR="002918D4">
        <w:t xml:space="preserve">of the season. </w:t>
      </w:r>
      <w:r w:rsidR="00AA11CD">
        <w:t>The</w:t>
      </w:r>
      <w:r w:rsidR="00C25280">
        <w:t xml:space="preserve"> </w:t>
      </w:r>
      <w:r w:rsidR="006D1B02">
        <w:t>highest level</w:t>
      </w:r>
      <w:r w:rsidR="00317D6B">
        <w:t>s</w:t>
      </w:r>
      <w:r w:rsidR="006D1B02">
        <w:t xml:space="preserve"> of </w:t>
      </w:r>
      <w:r w:rsidR="006D1B02" w:rsidRPr="006D1B02">
        <w:rPr>
          <w:i/>
        </w:rPr>
        <w:t xml:space="preserve">P. </w:t>
      </w:r>
      <w:proofErr w:type="spellStart"/>
      <w:r w:rsidR="006D1B02" w:rsidRPr="006D1B02">
        <w:rPr>
          <w:i/>
        </w:rPr>
        <w:t>quasitereoides</w:t>
      </w:r>
      <w:proofErr w:type="spellEnd"/>
      <w:r w:rsidR="00AA11CD">
        <w:rPr>
          <w:i/>
        </w:rPr>
        <w:t xml:space="preserve"> </w:t>
      </w:r>
      <w:r w:rsidR="00747DA9">
        <w:t>and</w:t>
      </w:r>
      <w:r w:rsidR="00AA11CD">
        <w:rPr>
          <w:i/>
        </w:rPr>
        <w:t xml:space="preserve"> P. neglectus</w:t>
      </w:r>
      <w:r w:rsidR="006D1B02">
        <w:t xml:space="preserve"> </w:t>
      </w:r>
      <w:r w:rsidR="008A637B">
        <w:t xml:space="preserve">at harvest </w:t>
      </w:r>
      <w:r w:rsidR="00D6490B">
        <w:t xml:space="preserve">in 2019 wheat </w:t>
      </w:r>
      <w:r w:rsidR="008A637B">
        <w:t xml:space="preserve">plots </w:t>
      </w:r>
      <w:r w:rsidR="00D6490B">
        <w:t xml:space="preserve">were recorded </w:t>
      </w:r>
      <w:r w:rsidR="008A637B">
        <w:t xml:space="preserve">from </w:t>
      </w:r>
      <w:r w:rsidR="00AA11CD">
        <w:t xml:space="preserve">2018 canola </w:t>
      </w:r>
      <w:r w:rsidR="00317D6B">
        <w:t>treatments</w:t>
      </w:r>
      <w:r w:rsidR="00AA11CD">
        <w:t xml:space="preserve"> at Grass Valley and</w:t>
      </w:r>
      <w:r w:rsidR="006D1B02">
        <w:t xml:space="preserve"> Dumbleyung</w:t>
      </w:r>
      <w:r w:rsidR="00AC3DD8">
        <w:t>,</w:t>
      </w:r>
      <w:r w:rsidR="006D1B02">
        <w:t xml:space="preserve"> </w:t>
      </w:r>
      <w:r w:rsidR="00AA11CD">
        <w:t>respectively.</w:t>
      </w:r>
      <w:r w:rsidR="006D1B02">
        <w:t xml:space="preserve"> </w:t>
      </w:r>
    </w:p>
    <w:p w14:paraId="0C7670C2" w14:textId="77777777" w:rsidR="0011586D" w:rsidRDefault="0011586D" w:rsidP="00897B1A">
      <w:r w:rsidRPr="00322F38">
        <w:rPr>
          <w:i/>
        </w:rPr>
        <w:t xml:space="preserve">R. </w:t>
      </w:r>
      <w:proofErr w:type="spellStart"/>
      <w:r w:rsidRPr="00322F38">
        <w:rPr>
          <w:i/>
        </w:rPr>
        <w:t>solani</w:t>
      </w:r>
      <w:proofErr w:type="spellEnd"/>
      <w:r w:rsidRPr="00322F38">
        <w:t xml:space="preserve"> AG8 levels </w:t>
      </w:r>
      <w:r w:rsidR="00B01543" w:rsidRPr="00322F38">
        <w:t>were lowest</w:t>
      </w:r>
      <w:r w:rsidRPr="00322F38">
        <w:t xml:space="preserve"> under</w:t>
      </w:r>
      <w:r w:rsidR="00322F38" w:rsidRPr="00322F38">
        <w:t xml:space="preserve"> </w:t>
      </w:r>
      <w:proofErr w:type="spellStart"/>
      <w:r w:rsidR="00322F38" w:rsidRPr="00322F38">
        <w:t>subclover</w:t>
      </w:r>
      <w:proofErr w:type="spellEnd"/>
      <w:r w:rsidR="00322F38" w:rsidRPr="00322F38">
        <w:t xml:space="preserve"> pasture</w:t>
      </w:r>
      <w:r w:rsidRPr="00322F38">
        <w:t xml:space="preserve">, both in the initial </w:t>
      </w:r>
      <w:r w:rsidR="002911AF" w:rsidRPr="00322F38">
        <w:t>break</w:t>
      </w:r>
      <w:r w:rsidR="00FA09D4">
        <w:t>-</w:t>
      </w:r>
      <w:r w:rsidR="002911AF" w:rsidRPr="00322F38">
        <w:t>crop</w:t>
      </w:r>
      <w:r w:rsidRPr="00322F38">
        <w:t xml:space="preserve"> phase and in the cereal phase</w:t>
      </w:r>
      <w:r w:rsidR="008A637B">
        <w:t xml:space="preserve"> at the </w:t>
      </w:r>
      <w:r w:rsidR="00322F38">
        <w:t xml:space="preserve">Calingiri and </w:t>
      </w:r>
      <w:r w:rsidR="008A637B">
        <w:t>Grass valley sites</w:t>
      </w:r>
      <w:r w:rsidR="00FA09D4">
        <w:t>,</w:t>
      </w:r>
      <w:r w:rsidR="00322F38">
        <w:t xml:space="preserve"> respectively</w:t>
      </w:r>
      <w:r>
        <w:t xml:space="preserve">. </w:t>
      </w:r>
      <w:r w:rsidR="00322F38">
        <w:t xml:space="preserve">Field pea and lupin treatments grown in 2018 also produced </w:t>
      </w:r>
      <w:r w:rsidR="00573462">
        <w:t xml:space="preserve">lower levels of </w:t>
      </w:r>
      <w:r w:rsidR="00573462" w:rsidRPr="00EC6A08">
        <w:rPr>
          <w:i/>
        </w:rPr>
        <w:t xml:space="preserve">R. </w:t>
      </w:r>
      <w:proofErr w:type="spellStart"/>
      <w:r w:rsidR="00573462" w:rsidRPr="00EC6A08">
        <w:rPr>
          <w:i/>
        </w:rPr>
        <w:t>solani</w:t>
      </w:r>
      <w:proofErr w:type="spellEnd"/>
      <w:r w:rsidR="00573462">
        <w:t xml:space="preserve"> AG8 at harvest </w:t>
      </w:r>
      <w:r w:rsidR="00FA09D4">
        <w:t xml:space="preserve">in </w:t>
      </w:r>
      <w:r w:rsidR="00322F38">
        <w:t xml:space="preserve">the </w:t>
      </w:r>
      <w:r w:rsidR="00CC0AC7">
        <w:t xml:space="preserve">2019 </w:t>
      </w:r>
      <w:r w:rsidR="00322F38">
        <w:t xml:space="preserve">cereal phase at Grass Valley. </w:t>
      </w:r>
      <w:r>
        <w:t xml:space="preserve">In Calingiri, the lowest levels of </w:t>
      </w:r>
      <w:r w:rsidRPr="0011586D">
        <w:rPr>
          <w:i/>
        </w:rPr>
        <w:t xml:space="preserve">R. </w:t>
      </w:r>
      <w:proofErr w:type="spellStart"/>
      <w:r w:rsidRPr="0011586D">
        <w:rPr>
          <w:i/>
        </w:rPr>
        <w:t>solani</w:t>
      </w:r>
      <w:proofErr w:type="spellEnd"/>
      <w:r>
        <w:t xml:space="preserve"> AG8 at harvest were in some of the </w:t>
      </w:r>
      <w:r w:rsidR="00CC0AC7">
        <w:t>pasture, pulse</w:t>
      </w:r>
      <w:r>
        <w:t xml:space="preserve">, canola and fallow </w:t>
      </w:r>
      <w:r w:rsidR="00AC3DD8">
        <w:t>plots</w:t>
      </w:r>
      <w:r>
        <w:t xml:space="preserve"> when compared with the cereal plots. </w:t>
      </w:r>
    </w:p>
    <w:p w14:paraId="36D08444" w14:textId="77777777" w:rsidR="00595F95" w:rsidRDefault="00DA5885" w:rsidP="00897B1A">
      <w:r>
        <w:t>In general</w:t>
      </w:r>
      <w:r w:rsidR="00FA09D4">
        <w:t>,</w:t>
      </w:r>
      <w:r w:rsidR="00573462">
        <w:t xml:space="preserve"> </w:t>
      </w:r>
      <w:proofErr w:type="spellStart"/>
      <w:r w:rsidR="00A76DB1">
        <w:t>subclover</w:t>
      </w:r>
      <w:proofErr w:type="spellEnd"/>
      <w:r w:rsidR="00573462">
        <w:t xml:space="preserve"> and </w:t>
      </w:r>
      <w:r w:rsidR="00A76DB1">
        <w:t>lupin r</w:t>
      </w:r>
      <w:r w:rsidR="00595F95">
        <w:t>otations</w:t>
      </w:r>
      <w:r w:rsidR="00573462">
        <w:t xml:space="preserve"> were the most consistent break</w:t>
      </w:r>
      <w:r w:rsidR="00FA09D4">
        <w:t>-crop</w:t>
      </w:r>
      <w:r w:rsidR="00573462">
        <w:t xml:space="preserve"> options where </w:t>
      </w:r>
      <w:r w:rsidR="00595F95" w:rsidRPr="00AA11CD">
        <w:rPr>
          <w:i/>
        </w:rPr>
        <w:t xml:space="preserve">R. </w:t>
      </w:r>
      <w:proofErr w:type="spellStart"/>
      <w:r w:rsidR="00595F95" w:rsidRPr="00AA11CD">
        <w:rPr>
          <w:i/>
        </w:rPr>
        <w:t>solani</w:t>
      </w:r>
      <w:proofErr w:type="spellEnd"/>
      <w:r w:rsidR="00595F95">
        <w:t xml:space="preserve"> and RLN </w:t>
      </w:r>
      <w:r w:rsidR="00573462">
        <w:t>were present in the same paddock</w:t>
      </w:r>
      <w:r w:rsidR="00595F95">
        <w:t xml:space="preserve"> </w:t>
      </w:r>
      <w:r w:rsidR="00D97D89">
        <w:t>(Grass Valley and Calingiri trials)</w:t>
      </w:r>
      <w:r w:rsidR="00573462">
        <w:t xml:space="preserve">. </w:t>
      </w:r>
      <w:r w:rsidR="002B590F">
        <w:t xml:space="preserve">Serradella consistently performed as a suitable break </w:t>
      </w:r>
      <w:r w:rsidR="00D12A65">
        <w:t xml:space="preserve">to reduce </w:t>
      </w:r>
      <w:r w:rsidR="002B590F" w:rsidRPr="002B590F">
        <w:rPr>
          <w:i/>
          <w:iCs/>
          <w:szCs w:val="20"/>
          <w:lang w:val="en-GB"/>
        </w:rPr>
        <w:t xml:space="preserve">P. </w:t>
      </w:r>
      <w:proofErr w:type="spellStart"/>
      <w:r w:rsidR="002B590F" w:rsidRPr="002B590F">
        <w:rPr>
          <w:i/>
          <w:iCs/>
          <w:szCs w:val="20"/>
          <w:lang w:val="en-GB"/>
        </w:rPr>
        <w:t>quasitereoides</w:t>
      </w:r>
      <w:proofErr w:type="spellEnd"/>
      <w:r w:rsidR="002B590F">
        <w:t xml:space="preserve"> but </w:t>
      </w:r>
      <w:r w:rsidR="00FA09D4">
        <w:t>its ability to reduce</w:t>
      </w:r>
      <w:r w:rsidR="00D12A65">
        <w:t xml:space="preserve"> </w:t>
      </w:r>
      <w:r w:rsidR="002B590F" w:rsidRPr="002B590F">
        <w:rPr>
          <w:i/>
          <w:szCs w:val="20"/>
          <w:lang w:eastAsia="en-AU"/>
        </w:rPr>
        <w:t>P. neglectus</w:t>
      </w:r>
      <w:r w:rsidR="002B590F">
        <w:t xml:space="preserve"> and </w:t>
      </w:r>
      <w:r w:rsidR="002B590F" w:rsidRPr="0011586D">
        <w:rPr>
          <w:i/>
        </w:rPr>
        <w:t xml:space="preserve">R. </w:t>
      </w:r>
      <w:proofErr w:type="spellStart"/>
      <w:r w:rsidR="002B590F" w:rsidRPr="0011586D">
        <w:rPr>
          <w:i/>
        </w:rPr>
        <w:t>solani</w:t>
      </w:r>
      <w:proofErr w:type="spellEnd"/>
      <w:r w:rsidR="00D12A65">
        <w:rPr>
          <w:i/>
        </w:rPr>
        <w:t xml:space="preserve"> </w:t>
      </w:r>
      <w:r w:rsidR="00D12A65">
        <w:t>levels</w:t>
      </w:r>
      <w:r w:rsidR="00FA09D4">
        <w:t xml:space="preserve"> was more variable</w:t>
      </w:r>
      <w:r w:rsidR="00D12A65">
        <w:t xml:space="preserve">. </w:t>
      </w:r>
      <w:r w:rsidR="00CC0AC7">
        <w:t xml:space="preserve">Fallow, pulses and pasture rotations </w:t>
      </w:r>
      <w:r w:rsidR="00FA09D4">
        <w:t xml:space="preserve">generated </w:t>
      </w:r>
      <w:r w:rsidR="00CC0AC7">
        <w:t xml:space="preserve">the highest yields in subsequent wheat crops. Canola is not a suitable break where RLN and </w:t>
      </w:r>
      <w:r w:rsidR="00CC0AC7" w:rsidRPr="0011586D">
        <w:rPr>
          <w:i/>
        </w:rPr>
        <w:t xml:space="preserve">R. </w:t>
      </w:r>
      <w:proofErr w:type="spellStart"/>
      <w:r w:rsidR="00CC0AC7" w:rsidRPr="0011586D">
        <w:rPr>
          <w:i/>
        </w:rPr>
        <w:t>solani</w:t>
      </w:r>
      <w:proofErr w:type="spellEnd"/>
      <w:r w:rsidR="00CC0AC7">
        <w:t xml:space="preserve"> occur together. </w:t>
      </w:r>
      <w:r w:rsidR="00D97D89">
        <w:t>In 2020, wheat will be sown over the trial</w:t>
      </w:r>
      <w:r w:rsidR="00595F95">
        <w:t xml:space="preserve"> </w:t>
      </w:r>
      <w:r w:rsidR="00D97D89">
        <w:t>at Calingiri</w:t>
      </w:r>
      <w:r w:rsidR="0032487E">
        <w:t xml:space="preserve"> </w:t>
      </w:r>
      <w:r>
        <w:t xml:space="preserve">to </w:t>
      </w:r>
      <w:r w:rsidR="00AC3DD8">
        <w:t>further validate these findings</w:t>
      </w:r>
      <w:r w:rsidR="00D97D89">
        <w:t>.</w:t>
      </w:r>
      <w:r w:rsidR="00F16F07">
        <w:t xml:space="preserve"> </w:t>
      </w:r>
    </w:p>
    <w:p w14:paraId="786EEA9C" w14:textId="77777777" w:rsidR="002308EB" w:rsidRDefault="00EC6A08" w:rsidP="00897B1A">
      <w:r>
        <w:t xml:space="preserve">These results demonstrate that </w:t>
      </w:r>
      <w:r w:rsidR="00573462">
        <w:t>growers need to be aware of which nematode pests and soil</w:t>
      </w:r>
      <w:r w:rsidR="00FA09D4">
        <w:t>-</w:t>
      </w:r>
      <w:r w:rsidR="00573462">
        <w:t>borne diseases are present in problem paddocks so that suitable r</w:t>
      </w:r>
      <w:r>
        <w:t>otation</w:t>
      </w:r>
      <w:r w:rsidR="00573462">
        <w:t xml:space="preserve">s can be </w:t>
      </w:r>
      <w:r w:rsidR="00FA09D4">
        <w:t xml:space="preserve">implemented </w:t>
      </w:r>
      <w:r w:rsidR="00573462">
        <w:t xml:space="preserve">to </w:t>
      </w:r>
      <w:r w:rsidR="002B590F">
        <w:t xml:space="preserve">mitigate potential yield losses. </w:t>
      </w:r>
    </w:p>
    <w:p w14:paraId="522B4E91" w14:textId="77777777" w:rsidR="00680260" w:rsidRDefault="00680260" w:rsidP="00897B1A">
      <w:pPr>
        <w:rPr>
          <w:b/>
          <w:sz w:val="22"/>
        </w:rPr>
      </w:pPr>
    </w:p>
    <w:p w14:paraId="62720018" w14:textId="77777777" w:rsidR="002A2884" w:rsidRPr="00BA553A" w:rsidRDefault="00CA4B23" w:rsidP="00897B1A">
      <w:pPr>
        <w:rPr>
          <w:b/>
        </w:rPr>
      </w:pPr>
      <w:r w:rsidRPr="00CA4B23">
        <w:rPr>
          <w:b/>
          <w:sz w:val="22"/>
        </w:rPr>
        <w:t>References</w:t>
      </w:r>
    </w:p>
    <w:p w14:paraId="4A7A7661" w14:textId="77777777" w:rsidR="00680260" w:rsidRPr="00171600" w:rsidRDefault="00680260" w:rsidP="00680260">
      <w:pPr>
        <w:autoSpaceDE w:val="0"/>
        <w:autoSpaceDN w:val="0"/>
        <w:adjustRightInd w:val="0"/>
        <w:spacing w:after="0" w:line="240" w:lineRule="auto"/>
        <w:ind w:left="1134" w:hanging="1134"/>
        <w:rPr>
          <w:szCs w:val="20"/>
        </w:rPr>
      </w:pPr>
      <w:r w:rsidRPr="00171600">
        <w:rPr>
          <w:szCs w:val="20"/>
        </w:rPr>
        <w:t xml:space="preserve">Brennan JP </w:t>
      </w:r>
      <w:r w:rsidRPr="00171600">
        <w:rPr>
          <w:rFonts w:eastAsia="Calibri"/>
          <w:i/>
          <w:spacing w:val="1"/>
          <w:w w:val="103"/>
          <w:szCs w:val="20"/>
        </w:rPr>
        <w:t xml:space="preserve">et </w:t>
      </w:r>
      <w:r w:rsidRPr="00171600">
        <w:rPr>
          <w:rFonts w:eastAsia="Calibri"/>
          <w:i/>
          <w:spacing w:val="2"/>
          <w:w w:val="103"/>
          <w:szCs w:val="20"/>
        </w:rPr>
        <w:t>a</w:t>
      </w:r>
      <w:r w:rsidRPr="00171600">
        <w:rPr>
          <w:rFonts w:eastAsia="Calibri"/>
          <w:i/>
          <w:spacing w:val="1"/>
          <w:w w:val="103"/>
          <w:szCs w:val="20"/>
        </w:rPr>
        <w:t>l.</w:t>
      </w:r>
      <w:r w:rsidRPr="00171600">
        <w:rPr>
          <w:rFonts w:eastAsia="Calibri"/>
          <w:spacing w:val="1"/>
          <w:w w:val="103"/>
          <w:szCs w:val="20"/>
        </w:rPr>
        <w:t>,</w:t>
      </w:r>
      <w:r w:rsidRPr="00171600">
        <w:rPr>
          <w:szCs w:val="20"/>
        </w:rPr>
        <w:t xml:space="preserve"> </w:t>
      </w:r>
      <w:r w:rsidR="003F168A" w:rsidRPr="00171600">
        <w:rPr>
          <w:szCs w:val="20"/>
        </w:rPr>
        <w:t>(</w:t>
      </w:r>
      <w:r w:rsidRPr="00171600">
        <w:rPr>
          <w:szCs w:val="20"/>
        </w:rPr>
        <w:t>2018</w:t>
      </w:r>
      <w:r w:rsidR="003F168A" w:rsidRPr="00171600">
        <w:rPr>
          <w:szCs w:val="20"/>
        </w:rPr>
        <w:t>)</w:t>
      </w:r>
      <w:r w:rsidRPr="00171600">
        <w:rPr>
          <w:szCs w:val="20"/>
        </w:rPr>
        <w:t xml:space="preserve"> Economic impact of root lesion nematodes and crown rot on wheat production in Australia. DEDJTR report (submitted). Melbourne, Australia.</w:t>
      </w:r>
    </w:p>
    <w:p w14:paraId="571C4306" w14:textId="77777777" w:rsidR="00680260" w:rsidRPr="00171600" w:rsidRDefault="00680260" w:rsidP="00680260">
      <w:pPr>
        <w:autoSpaceDE w:val="0"/>
        <w:autoSpaceDN w:val="0"/>
        <w:adjustRightInd w:val="0"/>
        <w:spacing w:after="0" w:line="240" w:lineRule="auto"/>
        <w:ind w:left="1134" w:hanging="1134"/>
        <w:rPr>
          <w:szCs w:val="20"/>
        </w:rPr>
      </w:pPr>
    </w:p>
    <w:p w14:paraId="72442A92" w14:textId="77777777" w:rsidR="00EB3FD2" w:rsidRPr="00171600" w:rsidRDefault="00EB3FD2" w:rsidP="00680260">
      <w:pPr>
        <w:ind w:left="1134" w:hanging="1134"/>
        <w:rPr>
          <w:rStyle w:val="Hyperlink"/>
          <w:szCs w:val="20"/>
        </w:rPr>
      </w:pPr>
      <w:r w:rsidRPr="00171600">
        <w:rPr>
          <w:szCs w:val="20"/>
        </w:rPr>
        <w:t xml:space="preserve">GIWA (2019) Crop Report – 13 December 2019, Grains Industry Association of Western Australia. </w:t>
      </w:r>
      <w:hyperlink r:id="rId18" w:history="1">
        <w:r w:rsidRPr="00171600">
          <w:rPr>
            <w:rStyle w:val="Hyperlink"/>
            <w:szCs w:val="20"/>
          </w:rPr>
          <w:t>http://www.giwa.org.au/2019</w:t>
        </w:r>
      </w:hyperlink>
    </w:p>
    <w:p w14:paraId="3C222ABC" w14:textId="77777777" w:rsidR="003F168A" w:rsidRPr="00171600" w:rsidRDefault="003F168A" w:rsidP="003F168A">
      <w:pPr>
        <w:ind w:left="1134" w:hanging="1134"/>
        <w:rPr>
          <w:rFonts w:cs="Arial"/>
          <w:szCs w:val="20"/>
        </w:rPr>
      </w:pPr>
      <w:r w:rsidRPr="00171600">
        <w:rPr>
          <w:rFonts w:cs="Arial"/>
          <w:szCs w:val="20"/>
        </w:rPr>
        <w:t xml:space="preserve">Loi, A., </w:t>
      </w:r>
      <w:r w:rsidRPr="00171600">
        <w:rPr>
          <w:rFonts w:eastAsia="Calibri"/>
          <w:i/>
          <w:spacing w:val="1"/>
          <w:w w:val="103"/>
          <w:szCs w:val="20"/>
        </w:rPr>
        <w:t xml:space="preserve">et </w:t>
      </w:r>
      <w:r w:rsidRPr="00171600">
        <w:rPr>
          <w:rFonts w:eastAsia="Calibri"/>
          <w:i/>
          <w:spacing w:val="2"/>
          <w:w w:val="103"/>
          <w:szCs w:val="20"/>
        </w:rPr>
        <w:t>a</w:t>
      </w:r>
      <w:r w:rsidRPr="00171600">
        <w:rPr>
          <w:rFonts w:eastAsia="Calibri"/>
          <w:i/>
          <w:spacing w:val="1"/>
          <w:w w:val="103"/>
          <w:szCs w:val="20"/>
        </w:rPr>
        <w:t>l.</w:t>
      </w:r>
      <w:r w:rsidRPr="00171600">
        <w:rPr>
          <w:rFonts w:eastAsia="Calibri"/>
          <w:spacing w:val="1"/>
          <w:w w:val="103"/>
          <w:szCs w:val="20"/>
        </w:rPr>
        <w:t>,</w:t>
      </w:r>
      <w:r w:rsidRPr="00171600">
        <w:rPr>
          <w:szCs w:val="20"/>
        </w:rPr>
        <w:t xml:space="preserve"> </w:t>
      </w:r>
      <w:r w:rsidRPr="00171600">
        <w:rPr>
          <w:rFonts w:cs="Arial"/>
          <w:szCs w:val="20"/>
        </w:rPr>
        <w:t xml:space="preserve">(2005) A second generation of annual pasture legumes and their potential for inclusion in Mediterranean-type farming systems. </w:t>
      </w:r>
      <w:r w:rsidRPr="00171600">
        <w:rPr>
          <w:rFonts w:cs="Arial"/>
          <w:i/>
          <w:szCs w:val="20"/>
        </w:rPr>
        <w:t xml:space="preserve">Australian Journal of Experimental Agriculture </w:t>
      </w:r>
      <w:r w:rsidRPr="00171600">
        <w:rPr>
          <w:rFonts w:cs="Arial"/>
          <w:szCs w:val="20"/>
        </w:rPr>
        <w:t>45, 289-299.</w:t>
      </w:r>
    </w:p>
    <w:p w14:paraId="05CE4657" w14:textId="77777777" w:rsidR="00477388" w:rsidRPr="00171600" w:rsidRDefault="002256FA" w:rsidP="00680260">
      <w:pPr>
        <w:ind w:left="1134" w:hanging="1134"/>
        <w:rPr>
          <w:szCs w:val="20"/>
        </w:rPr>
      </w:pPr>
      <w:r w:rsidRPr="00171600">
        <w:rPr>
          <w:szCs w:val="20"/>
        </w:rPr>
        <w:t xml:space="preserve">McKay A </w:t>
      </w:r>
      <w:r w:rsidRPr="00171600">
        <w:rPr>
          <w:rFonts w:eastAsia="Calibri"/>
          <w:i/>
          <w:spacing w:val="1"/>
          <w:w w:val="103"/>
          <w:szCs w:val="20"/>
        </w:rPr>
        <w:t xml:space="preserve">et </w:t>
      </w:r>
      <w:r w:rsidRPr="00171600">
        <w:rPr>
          <w:rFonts w:eastAsia="Calibri"/>
          <w:i/>
          <w:spacing w:val="2"/>
          <w:w w:val="103"/>
          <w:szCs w:val="20"/>
        </w:rPr>
        <w:t>a</w:t>
      </w:r>
      <w:r w:rsidRPr="00171600">
        <w:rPr>
          <w:rFonts w:eastAsia="Calibri"/>
          <w:i/>
          <w:spacing w:val="1"/>
          <w:w w:val="103"/>
          <w:szCs w:val="20"/>
        </w:rPr>
        <w:t>l.</w:t>
      </w:r>
      <w:r w:rsidRPr="00171600">
        <w:rPr>
          <w:szCs w:val="20"/>
        </w:rPr>
        <w:t xml:space="preserve"> </w:t>
      </w:r>
      <w:r w:rsidR="00477388" w:rsidRPr="00171600">
        <w:rPr>
          <w:szCs w:val="20"/>
        </w:rPr>
        <w:t xml:space="preserve">(2018) Broadacre Soilborne Disease Manual Version 10.1. The South Australian Research and Development Institute (SARDI) </w:t>
      </w:r>
      <w:hyperlink r:id="rId19" w:history="1">
        <w:r w:rsidR="00D93E0F" w:rsidRPr="00171600">
          <w:rPr>
            <w:rStyle w:val="Hyperlink"/>
            <w:szCs w:val="20"/>
          </w:rPr>
          <w:t>http://www.rootdisease.aweb.net.au</w:t>
        </w:r>
      </w:hyperlink>
      <w:r w:rsidR="00D93E0F" w:rsidRPr="00171600">
        <w:rPr>
          <w:szCs w:val="20"/>
        </w:rPr>
        <w:t xml:space="preserve"> </w:t>
      </w:r>
    </w:p>
    <w:p w14:paraId="556D3B7D" w14:textId="77777777" w:rsidR="00477388" w:rsidRPr="00171600" w:rsidRDefault="00477388" w:rsidP="00680260">
      <w:pPr>
        <w:ind w:left="1134" w:hanging="1134"/>
        <w:rPr>
          <w:szCs w:val="20"/>
        </w:rPr>
      </w:pPr>
      <w:r w:rsidRPr="00171600">
        <w:rPr>
          <w:szCs w:val="20"/>
        </w:rPr>
        <w:t xml:space="preserve">Swift </w:t>
      </w:r>
      <w:r w:rsidR="002256FA" w:rsidRPr="00171600">
        <w:rPr>
          <w:szCs w:val="20"/>
        </w:rPr>
        <w:t xml:space="preserve">B </w:t>
      </w:r>
      <w:r w:rsidR="002256FA" w:rsidRPr="00171600">
        <w:rPr>
          <w:rFonts w:eastAsia="Calibri"/>
          <w:i/>
          <w:spacing w:val="1"/>
          <w:w w:val="103"/>
          <w:szCs w:val="20"/>
        </w:rPr>
        <w:t xml:space="preserve">et </w:t>
      </w:r>
      <w:r w:rsidR="002256FA" w:rsidRPr="00171600">
        <w:rPr>
          <w:rFonts w:eastAsia="Calibri"/>
          <w:i/>
          <w:spacing w:val="2"/>
          <w:w w:val="103"/>
          <w:szCs w:val="20"/>
        </w:rPr>
        <w:t>a</w:t>
      </w:r>
      <w:r w:rsidR="002256FA" w:rsidRPr="00171600">
        <w:rPr>
          <w:rFonts w:eastAsia="Calibri"/>
          <w:i/>
          <w:spacing w:val="1"/>
          <w:w w:val="103"/>
          <w:szCs w:val="20"/>
        </w:rPr>
        <w:t>l.</w:t>
      </w:r>
      <w:r w:rsidRPr="00171600">
        <w:rPr>
          <w:szCs w:val="20"/>
        </w:rPr>
        <w:t xml:space="preserve"> (2019) Profitable break crops for management of root lesion nematodes and </w:t>
      </w:r>
      <w:r w:rsidRPr="00171600">
        <w:rPr>
          <w:i/>
          <w:szCs w:val="20"/>
        </w:rPr>
        <w:t xml:space="preserve">Rhizoctonia </w:t>
      </w:r>
      <w:proofErr w:type="spellStart"/>
      <w:r w:rsidRPr="00171600">
        <w:rPr>
          <w:i/>
          <w:szCs w:val="20"/>
        </w:rPr>
        <w:t>solani</w:t>
      </w:r>
      <w:proofErr w:type="spellEnd"/>
      <w:r w:rsidRPr="00171600">
        <w:rPr>
          <w:szCs w:val="20"/>
        </w:rPr>
        <w:t xml:space="preserve"> AG8. 2019 GRDC Research Updates, Crown Perth, February 25-26.</w:t>
      </w:r>
      <w:r w:rsidR="00D93E0F" w:rsidRPr="00171600">
        <w:rPr>
          <w:szCs w:val="20"/>
        </w:rPr>
        <w:t xml:space="preserve"> </w:t>
      </w:r>
      <w:hyperlink r:id="rId20" w:history="1">
        <w:r w:rsidR="00D93E0F" w:rsidRPr="00171600">
          <w:rPr>
            <w:rStyle w:val="Hyperlink"/>
            <w:szCs w:val="20"/>
          </w:rPr>
          <w:t>https://researchrepository.murdoch.edu.au/id/eprint/52748/</w:t>
        </w:r>
      </w:hyperlink>
      <w:r w:rsidR="00D93E0F" w:rsidRPr="00171600">
        <w:rPr>
          <w:szCs w:val="20"/>
        </w:rPr>
        <w:t xml:space="preserve"> </w:t>
      </w:r>
    </w:p>
    <w:p w14:paraId="5A9019FA" w14:textId="77777777" w:rsidR="00680260" w:rsidRPr="00171600" w:rsidRDefault="00680260" w:rsidP="00680260">
      <w:pPr>
        <w:autoSpaceDE w:val="0"/>
        <w:autoSpaceDN w:val="0"/>
        <w:adjustRightInd w:val="0"/>
        <w:spacing w:after="0" w:line="240" w:lineRule="auto"/>
        <w:ind w:left="1134" w:hanging="1134"/>
        <w:rPr>
          <w:rFonts w:cs="Arial"/>
          <w:szCs w:val="20"/>
        </w:rPr>
      </w:pPr>
      <w:r w:rsidRPr="00171600">
        <w:rPr>
          <w:rFonts w:cs="Arial"/>
          <w:szCs w:val="20"/>
        </w:rPr>
        <w:t xml:space="preserve">Murray GM </w:t>
      </w:r>
      <w:r w:rsidRPr="00171600">
        <w:rPr>
          <w:rFonts w:eastAsia="Calibri" w:cs="Arial"/>
          <w:i/>
          <w:spacing w:val="1"/>
          <w:w w:val="103"/>
          <w:szCs w:val="20"/>
        </w:rPr>
        <w:t xml:space="preserve">et </w:t>
      </w:r>
      <w:r w:rsidRPr="00171600">
        <w:rPr>
          <w:rFonts w:eastAsia="Calibri" w:cs="Arial"/>
          <w:i/>
          <w:spacing w:val="2"/>
          <w:w w:val="103"/>
          <w:szCs w:val="20"/>
        </w:rPr>
        <w:t>a</w:t>
      </w:r>
      <w:r w:rsidRPr="00171600">
        <w:rPr>
          <w:rFonts w:eastAsia="Calibri" w:cs="Arial"/>
          <w:i/>
          <w:spacing w:val="1"/>
          <w:w w:val="103"/>
          <w:szCs w:val="20"/>
        </w:rPr>
        <w:t>l.</w:t>
      </w:r>
      <w:r w:rsidRPr="00171600">
        <w:rPr>
          <w:rFonts w:cs="Arial"/>
          <w:szCs w:val="20"/>
        </w:rPr>
        <w:t xml:space="preserve"> (2009) The current and potential costs of diseases of wheat in Australia.</w:t>
      </w:r>
      <w:r w:rsidR="002A2884" w:rsidRPr="00171600">
        <w:rPr>
          <w:rFonts w:cs="Arial"/>
          <w:szCs w:val="20"/>
        </w:rPr>
        <w:t xml:space="preserve"> </w:t>
      </w:r>
      <w:r w:rsidR="002A2884" w:rsidRPr="00171600">
        <w:rPr>
          <w:rFonts w:cs="Arial"/>
          <w:i/>
          <w:szCs w:val="20"/>
        </w:rPr>
        <w:t>Aust</w:t>
      </w:r>
      <w:r w:rsidR="003F168A" w:rsidRPr="00171600">
        <w:rPr>
          <w:rFonts w:cs="Arial"/>
          <w:i/>
          <w:szCs w:val="20"/>
        </w:rPr>
        <w:t>ralian Journal of</w:t>
      </w:r>
      <w:r w:rsidR="002A2884" w:rsidRPr="00171600">
        <w:rPr>
          <w:rFonts w:cs="Arial"/>
          <w:i/>
          <w:szCs w:val="20"/>
        </w:rPr>
        <w:t xml:space="preserve"> Plant Path</w:t>
      </w:r>
      <w:r w:rsidR="003F168A" w:rsidRPr="00171600">
        <w:rPr>
          <w:rFonts w:cs="Arial"/>
          <w:i/>
          <w:szCs w:val="20"/>
        </w:rPr>
        <w:t>ology</w:t>
      </w:r>
      <w:r w:rsidR="002A2884" w:rsidRPr="00171600">
        <w:rPr>
          <w:rFonts w:cs="Arial"/>
          <w:i/>
          <w:szCs w:val="20"/>
        </w:rPr>
        <w:t xml:space="preserve">, </w:t>
      </w:r>
      <w:r w:rsidR="002A2884" w:rsidRPr="00171600">
        <w:rPr>
          <w:rFonts w:cs="Arial"/>
          <w:szCs w:val="20"/>
        </w:rPr>
        <w:t>38, 558-570.</w:t>
      </w:r>
      <w:r w:rsidRPr="00171600">
        <w:rPr>
          <w:rFonts w:cs="Arial"/>
          <w:szCs w:val="20"/>
        </w:rPr>
        <w:t xml:space="preserve"> ISBN 978-1-875477-92-0</w:t>
      </w:r>
    </w:p>
    <w:p w14:paraId="6541776A" w14:textId="77777777" w:rsidR="002A2884" w:rsidRPr="006867F7" w:rsidRDefault="002A2884" w:rsidP="002256FA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1B8F176B" w14:textId="77777777" w:rsidR="008C6588" w:rsidRDefault="003B6DA6" w:rsidP="008F2638">
      <w:pPr>
        <w:pStyle w:val="Heading2"/>
      </w:pPr>
      <w:r w:rsidRPr="008F2638">
        <w:t>A</w:t>
      </w:r>
      <w:r w:rsidR="008C6588" w:rsidRPr="008F2638">
        <w:t>cknowledgments</w:t>
      </w:r>
    </w:p>
    <w:p w14:paraId="5B822BA7" w14:textId="77777777" w:rsidR="0004340E" w:rsidRDefault="0004340E" w:rsidP="0004340E">
      <w:r>
        <w:t xml:space="preserve">Funding for this work was provided by </w:t>
      </w:r>
      <w:r w:rsidR="005337AC">
        <w:t xml:space="preserve">DPIRD and </w:t>
      </w:r>
      <w:r>
        <w:t>GRDC. Our thanks</w:t>
      </w:r>
      <w:r w:rsidR="00680260">
        <w:t xml:space="preserve"> </w:t>
      </w:r>
      <w:r w:rsidR="005337AC">
        <w:t xml:space="preserve">to </w:t>
      </w:r>
      <w:r w:rsidR="00680260">
        <w:t xml:space="preserve">Grace Williams from </w:t>
      </w:r>
      <w:proofErr w:type="spellStart"/>
      <w:r w:rsidR="00680260">
        <w:t>Kalyx</w:t>
      </w:r>
      <w:proofErr w:type="spellEnd"/>
      <w:r w:rsidR="00680260">
        <w:t xml:space="preserve"> and </w:t>
      </w:r>
      <w:r w:rsidR="005337AC">
        <w:t xml:space="preserve">the </w:t>
      </w:r>
      <w:r>
        <w:t xml:space="preserve">DPIRD Northam and Katanning RSU’s, particularly Rob de </w:t>
      </w:r>
      <w:proofErr w:type="spellStart"/>
      <w:r>
        <w:t>Gruchy</w:t>
      </w:r>
      <w:proofErr w:type="spellEnd"/>
      <w:r>
        <w:t xml:space="preserve">, </w:t>
      </w:r>
      <w:r w:rsidR="00162322">
        <w:t xml:space="preserve">Daron Malinowski </w:t>
      </w:r>
      <w:r>
        <w:t>and Daniel Cox</w:t>
      </w:r>
      <w:r w:rsidR="00680260">
        <w:t xml:space="preserve"> for trial management</w:t>
      </w:r>
      <w:r>
        <w:t xml:space="preserve">. Andrew van </w:t>
      </w:r>
      <w:proofErr w:type="spellStart"/>
      <w:r>
        <w:t>Burgel</w:t>
      </w:r>
      <w:proofErr w:type="spellEnd"/>
      <w:r>
        <w:t xml:space="preserve"> assisted with the trial design. </w:t>
      </w:r>
      <w:proofErr w:type="spellStart"/>
      <w:r>
        <w:t>Kanch</w:t>
      </w:r>
      <w:proofErr w:type="spellEnd"/>
      <w:r>
        <w:t xml:space="preserve"> Wickramarachchi, </w:t>
      </w:r>
      <w:r w:rsidR="00162322">
        <w:t xml:space="preserve">Pete </w:t>
      </w:r>
      <w:proofErr w:type="spellStart"/>
      <w:r w:rsidR="00162322">
        <w:t>Gray</w:t>
      </w:r>
      <w:proofErr w:type="spellEnd"/>
      <w:r w:rsidR="00162322">
        <w:t xml:space="preserve">, </w:t>
      </w:r>
      <w:r>
        <w:t>Isaac Duval and a team of casuals provided technical support.</w:t>
      </w:r>
      <w:r w:rsidR="0032487E">
        <w:t xml:space="preserve"> </w:t>
      </w:r>
      <w:r>
        <w:t>The growers Brendan Parker (Grass Valley) and Glenn Ball (Dumbleyung) and Steve</w:t>
      </w:r>
      <w:r w:rsidR="00162322">
        <w:t xml:space="preserve"> woods</w:t>
      </w:r>
      <w:r>
        <w:t xml:space="preserve"> (Calingiri) provided their paddocks for the trials and we would like to thank them for their cooperation and continued support. </w:t>
      </w:r>
    </w:p>
    <w:p w14:paraId="2BD17FF5" w14:textId="77777777" w:rsidR="003D0FC7" w:rsidRDefault="003D0FC7" w:rsidP="003D0FC7">
      <w:pPr>
        <w:pStyle w:val="Heading2"/>
        <w:rPr>
          <w:rFonts w:ascii="Calibri" w:hAnsi="Calibri"/>
          <w:color w:val="auto"/>
        </w:rPr>
      </w:pPr>
      <w:r>
        <w:t>Contact details</w:t>
      </w:r>
    </w:p>
    <w:p w14:paraId="1F26AF20" w14:textId="77777777" w:rsidR="00BA553A" w:rsidRDefault="00BA553A" w:rsidP="00BA553A">
      <w:pPr>
        <w:spacing w:after="0"/>
      </w:pPr>
      <w:r>
        <w:t>Dr Sarah Collins</w:t>
      </w:r>
    </w:p>
    <w:p w14:paraId="2A191F4A" w14:textId="77777777" w:rsidR="00BA553A" w:rsidRDefault="00BA553A" w:rsidP="00BA553A">
      <w:pPr>
        <w:spacing w:after="0"/>
      </w:pPr>
      <w:r>
        <w:t>Department of Primary Industries and Regional Development, Western Australia.</w:t>
      </w:r>
    </w:p>
    <w:p w14:paraId="20D22A5C" w14:textId="77777777" w:rsidR="00BA553A" w:rsidRDefault="00BA553A" w:rsidP="00BA553A">
      <w:pPr>
        <w:spacing w:after="0"/>
      </w:pPr>
      <w:r>
        <w:t xml:space="preserve">3 Baron Hay Court, </w:t>
      </w:r>
      <w:r w:rsidR="00E149F9">
        <w:t>Kensington</w:t>
      </w:r>
      <w:r>
        <w:t xml:space="preserve">. </w:t>
      </w:r>
    </w:p>
    <w:p w14:paraId="39AFC20C" w14:textId="77777777" w:rsidR="00381AC1" w:rsidRPr="00381AC1" w:rsidRDefault="003D0FC7" w:rsidP="00BA553A">
      <w:pPr>
        <w:spacing w:after="0"/>
      </w:pPr>
      <w:r>
        <w:t xml:space="preserve">Ph: </w:t>
      </w:r>
      <w:r w:rsidR="00BA553A">
        <w:t>(08) 9368 3612</w:t>
      </w:r>
      <w:r>
        <w:br/>
        <w:t>Ema</w:t>
      </w:r>
      <w:r w:rsidR="00BA553A">
        <w:t>il: sarah.collins@dpird.wa.gov.au</w:t>
      </w:r>
    </w:p>
    <w:p w14:paraId="26B409CC" w14:textId="77777777" w:rsidR="00381AC1" w:rsidRPr="00381AC1" w:rsidRDefault="00381AC1" w:rsidP="00381AC1"/>
    <w:sectPr w:rsidR="00381AC1" w:rsidRPr="00381AC1" w:rsidSect="00FE6956">
      <w:type w:val="continuous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FF198" w14:textId="77777777" w:rsidR="008B6505" w:rsidRDefault="008B6505" w:rsidP="00337B8D">
      <w:pPr>
        <w:spacing w:after="0" w:line="240" w:lineRule="auto"/>
      </w:pPr>
      <w:r>
        <w:separator/>
      </w:r>
    </w:p>
  </w:endnote>
  <w:endnote w:type="continuationSeparator" w:id="0">
    <w:p w14:paraId="54CDF8D6" w14:textId="77777777" w:rsidR="008B6505" w:rsidRDefault="008B6505" w:rsidP="00337B8D">
      <w:pPr>
        <w:spacing w:after="0" w:line="240" w:lineRule="auto"/>
      </w:pPr>
      <w:r>
        <w:continuationSeparator/>
      </w:r>
    </w:p>
  </w:endnote>
  <w:endnote w:type="continuationNotice" w:id="1">
    <w:p w14:paraId="5736CDFC" w14:textId="77777777" w:rsidR="008B6505" w:rsidRDefault="008B6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0DD1" w14:textId="77777777" w:rsidR="005C613C" w:rsidRDefault="005C6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9A33" w14:textId="77777777" w:rsidR="005C613C" w:rsidRDefault="005C613C" w:rsidP="00757BF6">
    <w:pPr>
      <w:pStyle w:val="Footer"/>
      <w:tabs>
        <w:tab w:val="left" w:pos="7256"/>
        <w:tab w:val="right" w:pos="10466"/>
      </w:tabs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9988E7C" wp14:editId="3C9EEDA9">
          <wp:simplePos x="0" y="0"/>
          <wp:positionH relativeFrom="column">
            <wp:posOffset>4981575</wp:posOffset>
          </wp:positionH>
          <wp:positionV relativeFrom="paragraph">
            <wp:posOffset>-494665</wp:posOffset>
          </wp:positionV>
          <wp:extent cx="1823005" cy="936000"/>
          <wp:effectExtent l="0" t="0" r="6350" b="0"/>
          <wp:wrapThrough wrapText="bothSides">
            <wp:wrapPolygon edited="0">
              <wp:start x="0" y="0"/>
              <wp:lineTo x="0" y="21102"/>
              <wp:lineTo x="21449" y="21102"/>
              <wp:lineTo x="2144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DCLogoStacked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3005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7F44D" w14:textId="77777777" w:rsidR="008B6505" w:rsidRDefault="008B6505" w:rsidP="00337B8D">
      <w:pPr>
        <w:spacing w:after="0" w:line="240" w:lineRule="auto"/>
      </w:pPr>
      <w:r>
        <w:separator/>
      </w:r>
    </w:p>
  </w:footnote>
  <w:footnote w:type="continuationSeparator" w:id="0">
    <w:p w14:paraId="71120182" w14:textId="77777777" w:rsidR="008B6505" w:rsidRDefault="008B6505" w:rsidP="00337B8D">
      <w:pPr>
        <w:spacing w:after="0" w:line="240" w:lineRule="auto"/>
      </w:pPr>
      <w:r>
        <w:continuationSeparator/>
      </w:r>
    </w:p>
  </w:footnote>
  <w:footnote w:type="continuationNotice" w:id="1">
    <w:p w14:paraId="159C2D49" w14:textId="77777777" w:rsidR="008B6505" w:rsidRDefault="008B6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1EE9" w14:textId="77777777" w:rsidR="005C613C" w:rsidRDefault="005C6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074"/>
    <w:multiLevelType w:val="hybridMultilevel"/>
    <w:tmpl w:val="E2FA1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546"/>
    <w:multiLevelType w:val="hybridMultilevel"/>
    <w:tmpl w:val="1854C2FE"/>
    <w:lvl w:ilvl="0" w:tplc="120CAD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67637"/>
    <w:multiLevelType w:val="hybridMultilevel"/>
    <w:tmpl w:val="96B0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5B0C"/>
    <w:multiLevelType w:val="hybridMultilevel"/>
    <w:tmpl w:val="0D2E0B62"/>
    <w:lvl w:ilvl="0" w:tplc="C88C59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72E8"/>
    <w:multiLevelType w:val="multilevel"/>
    <w:tmpl w:val="F03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B503C"/>
    <w:multiLevelType w:val="hybridMultilevel"/>
    <w:tmpl w:val="8E281F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B7A6E"/>
    <w:multiLevelType w:val="multilevel"/>
    <w:tmpl w:val="58D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8331C"/>
    <w:multiLevelType w:val="hybridMultilevel"/>
    <w:tmpl w:val="EB547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70E43"/>
    <w:multiLevelType w:val="hybridMultilevel"/>
    <w:tmpl w:val="F6384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148F"/>
    <w:multiLevelType w:val="hybridMultilevel"/>
    <w:tmpl w:val="76F62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D60D3"/>
    <w:multiLevelType w:val="multilevel"/>
    <w:tmpl w:val="6F6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E278C5"/>
    <w:multiLevelType w:val="hybridMultilevel"/>
    <w:tmpl w:val="C6CE7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1DAD"/>
    <w:multiLevelType w:val="hybridMultilevel"/>
    <w:tmpl w:val="43A8E6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773F6"/>
    <w:multiLevelType w:val="hybridMultilevel"/>
    <w:tmpl w:val="74E4C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B4651"/>
    <w:multiLevelType w:val="hybridMultilevel"/>
    <w:tmpl w:val="9DA4132C"/>
    <w:lvl w:ilvl="0" w:tplc="555C0E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218B1"/>
    <w:multiLevelType w:val="hybridMultilevel"/>
    <w:tmpl w:val="D414B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7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ocumentProtection w:edit="readOnly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9C"/>
    <w:rsid w:val="00003443"/>
    <w:rsid w:val="00007399"/>
    <w:rsid w:val="0001056C"/>
    <w:rsid w:val="00013064"/>
    <w:rsid w:val="0002539D"/>
    <w:rsid w:val="00032AB3"/>
    <w:rsid w:val="000426BA"/>
    <w:rsid w:val="000427D3"/>
    <w:rsid w:val="00042DAC"/>
    <w:rsid w:val="0004340E"/>
    <w:rsid w:val="00044929"/>
    <w:rsid w:val="00044AAF"/>
    <w:rsid w:val="00046FF4"/>
    <w:rsid w:val="00050192"/>
    <w:rsid w:val="00050574"/>
    <w:rsid w:val="00054C03"/>
    <w:rsid w:val="00055DAD"/>
    <w:rsid w:val="000605E6"/>
    <w:rsid w:val="000608CC"/>
    <w:rsid w:val="00060C19"/>
    <w:rsid w:val="00065255"/>
    <w:rsid w:val="00070B7C"/>
    <w:rsid w:val="00073215"/>
    <w:rsid w:val="000752E2"/>
    <w:rsid w:val="00084ED8"/>
    <w:rsid w:val="0008625F"/>
    <w:rsid w:val="000862E4"/>
    <w:rsid w:val="00087FF5"/>
    <w:rsid w:val="00090F23"/>
    <w:rsid w:val="00091391"/>
    <w:rsid w:val="00092842"/>
    <w:rsid w:val="00093CDF"/>
    <w:rsid w:val="00097468"/>
    <w:rsid w:val="000A0C79"/>
    <w:rsid w:val="000A3020"/>
    <w:rsid w:val="000A6A53"/>
    <w:rsid w:val="000A6D67"/>
    <w:rsid w:val="000A733D"/>
    <w:rsid w:val="000A783D"/>
    <w:rsid w:val="000B09DC"/>
    <w:rsid w:val="000C0B9F"/>
    <w:rsid w:val="000C0FBD"/>
    <w:rsid w:val="000C2365"/>
    <w:rsid w:val="000C34AF"/>
    <w:rsid w:val="000C44BF"/>
    <w:rsid w:val="000C697F"/>
    <w:rsid w:val="000D04B3"/>
    <w:rsid w:val="000D097F"/>
    <w:rsid w:val="000D10A8"/>
    <w:rsid w:val="000D2330"/>
    <w:rsid w:val="000D40E5"/>
    <w:rsid w:val="000D43AF"/>
    <w:rsid w:val="000D4E39"/>
    <w:rsid w:val="000D74BF"/>
    <w:rsid w:val="000E16BB"/>
    <w:rsid w:val="000E1732"/>
    <w:rsid w:val="000E2EF0"/>
    <w:rsid w:val="000E4977"/>
    <w:rsid w:val="000E6594"/>
    <w:rsid w:val="000F2565"/>
    <w:rsid w:val="000F483B"/>
    <w:rsid w:val="000F6530"/>
    <w:rsid w:val="000F676A"/>
    <w:rsid w:val="00104FE6"/>
    <w:rsid w:val="0011225E"/>
    <w:rsid w:val="0011586D"/>
    <w:rsid w:val="001166FA"/>
    <w:rsid w:val="00117CC0"/>
    <w:rsid w:val="0012059D"/>
    <w:rsid w:val="00123D0F"/>
    <w:rsid w:val="00125152"/>
    <w:rsid w:val="00125C47"/>
    <w:rsid w:val="00127723"/>
    <w:rsid w:val="00127E89"/>
    <w:rsid w:val="001328B9"/>
    <w:rsid w:val="00134E51"/>
    <w:rsid w:val="001352A4"/>
    <w:rsid w:val="00135755"/>
    <w:rsid w:val="001400E8"/>
    <w:rsid w:val="001406E2"/>
    <w:rsid w:val="00144321"/>
    <w:rsid w:val="00145418"/>
    <w:rsid w:val="00145E14"/>
    <w:rsid w:val="00152906"/>
    <w:rsid w:val="001551D5"/>
    <w:rsid w:val="00155344"/>
    <w:rsid w:val="00156255"/>
    <w:rsid w:val="00160211"/>
    <w:rsid w:val="00160E32"/>
    <w:rsid w:val="00162322"/>
    <w:rsid w:val="00164D31"/>
    <w:rsid w:val="0016502F"/>
    <w:rsid w:val="001667D2"/>
    <w:rsid w:val="001675A3"/>
    <w:rsid w:val="0017132B"/>
    <w:rsid w:val="00171600"/>
    <w:rsid w:val="00171EB4"/>
    <w:rsid w:val="00172E2B"/>
    <w:rsid w:val="00173BC1"/>
    <w:rsid w:val="0017506D"/>
    <w:rsid w:val="0018363F"/>
    <w:rsid w:val="00184F45"/>
    <w:rsid w:val="001861A1"/>
    <w:rsid w:val="00190325"/>
    <w:rsid w:val="00196375"/>
    <w:rsid w:val="001A1B99"/>
    <w:rsid w:val="001A25EF"/>
    <w:rsid w:val="001A4F04"/>
    <w:rsid w:val="001A63A0"/>
    <w:rsid w:val="001A7087"/>
    <w:rsid w:val="001B0472"/>
    <w:rsid w:val="001B057B"/>
    <w:rsid w:val="001B2CC1"/>
    <w:rsid w:val="001B2D47"/>
    <w:rsid w:val="001B6B2E"/>
    <w:rsid w:val="001B7074"/>
    <w:rsid w:val="001C3698"/>
    <w:rsid w:val="001E0954"/>
    <w:rsid w:val="001E1BC9"/>
    <w:rsid w:val="001E5445"/>
    <w:rsid w:val="001E5C39"/>
    <w:rsid w:val="001F0D89"/>
    <w:rsid w:val="001F33EA"/>
    <w:rsid w:val="001F3FE7"/>
    <w:rsid w:val="001F5716"/>
    <w:rsid w:val="001F6493"/>
    <w:rsid w:val="001F64F7"/>
    <w:rsid w:val="0020165A"/>
    <w:rsid w:val="0020258C"/>
    <w:rsid w:val="00210EFA"/>
    <w:rsid w:val="00214EC2"/>
    <w:rsid w:val="002169CF"/>
    <w:rsid w:val="00217614"/>
    <w:rsid w:val="00220C06"/>
    <w:rsid w:val="00223D64"/>
    <w:rsid w:val="002256FA"/>
    <w:rsid w:val="002308EB"/>
    <w:rsid w:val="002321F1"/>
    <w:rsid w:val="00234FBD"/>
    <w:rsid w:val="0023571C"/>
    <w:rsid w:val="00236815"/>
    <w:rsid w:val="00240386"/>
    <w:rsid w:val="00240FFF"/>
    <w:rsid w:val="00244B1B"/>
    <w:rsid w:val="002465A4"/>
    <w:rsid w:val="00247C30"/>
    <w:rsid w:val="00247ED4"/>
    <w:rsid w:val="0025563E"/>
    <w:rsid w:val="00257DB9"/>
    <w:rsid w:val="0026034E"/>
    <w:rsid w:val="00260EAF"/>
    <w:rsid w:val="00264EA0"/>
    <w:rsid w:val="0026659C"/>
    <w:rsid w:val="00270360"/>
    <w:rsid w:val="002714D8"/>
    <w:rsid w:val="00273B23"/>
    <w:rsid w:val="00274D95"/>
    <w:rsid w:val="002752AB"/>
    <w:rsid w:val="00281495"/>
    <w:rsid w:val="00284E06"/>
    <w:rsid w:val="002911AF"/>
    <w:rsid w:val="002918D4"/>
    <w:rsid w:val="0029493B"/>
    <w:rsid w:val="0029530A"/>
    <w:rsid w:val="002962F7"/>
    <w:rsid w:val="002A006E"/>
    <w:rsid w:val="002A1303"/>
    <w:rsid w:val="002A2884"/>
    <w:rsid w:val="002A29B4"/>
    <w:rsid w:val="002A2DBC"/>
    <w:rsid w:val="002A3E0E"/>
    <w:rsid w:val="002A4D86"/>
    <w:rsid w:val="002A4F1C"/>
    <w:rsid w:val="002A6010"/>
    <w:rsid w:val="002A6361"/>
    <w:rsid w:val="002B47B6"/>
    <w:rsid w:val="002B590F"/>
    <w:rsid w:val="002C19C4"/>
    <w:rsid w:val="002C40A3"/>
    <w:rsid w:val="002C4EBF"/>
    <w:rsid w:val="002C6663"/>
    <w:rsid w:val="002D3B9A"/>
    <w:rsid w:val="002D406F"/>
    <w:rsid w:val="002D7E14"/>
    <w:rsid w:val="002E1094"/>
    <w:rsid w:val="002E44E8"/>
    <w:rsid w:val="002E5DF6"/>
    <w:rsid w:val="002E69F6"/>
    <w:rsid w:val="002E7C14"/>
    <w:rsid w:val="002F5260"/>
    <w:rsid w:val="003002B2"/>
    <w:rsid w:val="00300D9F"/>
    <w:rsid w:val="0030665B"/>
    <w:rsid w:val="003077C8"/>
    <w:rsid w:val="00317D6B"/>
    <w:rsid w:val="00320093"/>
    <w:rsid w:val="00322F38"/>
    <w:rsid w:val="0032487E"/>
    <w:rsid w:val="003259EB"/>
    <w:rsid w:val="00326034"/>
    <w:rsid w:val="00332C7F"/>
    <w:rsid w:val="0033395D"/>
    <w:rsid w:val="003351B7"/>
    <w:rsid w:val="00337B8D"/>
    <w:rsid w:val="003467D5"/>
    <w:rsid w:val="00351C84"/>
    <w:rsid w:val="00353E1E"/>
    <w:rsid w:val="003564F1"/>
    <w:rsid w:val="00360B59"/>
    <w:rsid w:val="003648CD"/>
    <w:rsid w:val="00366367"/>
    <w:rsid w:val="00366680"/>
    <w:rsid w:val="00371239"/>
    <w:rsid w:val="00376079"/>
    <w:rsid w:val="003812AB"/>
    <w:rsid w:val="003814B2"/>
    <w:rsid w:val="00381AC1"/>
    <w:rsid w:val="00382492"/>
    <w:rsid w:val="003842E7"/>
    <w:rsid w:val="003858CB"/>
    <w:rsid w:val="00390717"/>
    <w:rsid w:val="00391581"/>
    <w:rsid w:val="003921EF"/>
    <w:rsid w:val="00392B47"/>
    <w:rsid w:val="00397CE7"/>
    <w:rsid w:val="003A327A"/>
    <w:rsid w:val="003A794F"/>
    <w:rsid w:val="003B187C"/>
    <w:rsid w:val="003B4873"/>
    <w:rsid w:val="003B568D"/>
    <w:rsid w:val="003B6DA6"/>
    <w:rsid w:val="003C1436"/>
    <w:rsid w:val="003C1766"/>
    <w:rsid w:val="003C25E4"/>
    <w:rsid w:val="003D0FC7"/>
    <w:rsid w:val="003D2721"/>
    <w:rsid w:val="003D4E49"/>
    <w:rsid w:val="003D50A3"/>
    <w:rsid w:val="003D5492"/>
    <w:rsid w:val="003D7050"/>
    <w:rsid w:val="003D76BE"/>
    <w:rsid w:val="003E1C52"/>
    <w:rsid w:val="003E56B9"/>
    <w:rsid w:val="003E6D0C"/>
    <w:rsid w:val="003F0604"/>
    <w:rsid w:val="003F0CF0"/>
    <w:rsid w:val="003F168A"/>
    <w:rsid w:val="003F268E"/>
    <w:rsid w:val="003F288C"/>
    <w:rsid w:val="003F75A7"/>
    <w:rsid w:val="00402ECE"/>
    <w:rsid w:val="00405AB2"/>
    <w:rsid w:val="00405B93"/>
    <w:rsid w:val="00406466"/>
    <w:rsid w:val="004104BD"/>
    <w:rsid w:val="00411620"/>
    <w:rsid w:val="00411691"/>
    <w:rsid w:val="0041316D"/>
    <w:rsid w:val="004151BA"/>
    <w:rsid w:val="0041613D"/>
    <w:rsid w:val="004166EE"/>
    <w:rsid w:val="00417DBE"/>
    <w:rsid w:val="004208F0"/>
    <w:rsid w:val="00421212"/>
    <w:rsid w:val="00422796"/>
    <w:rsid w:val="0042325E"/>
    <w:rsid w:val="00424562"/>
    <w:rsid w:val="00425119"/>
    <w:rsid w:val="0042650B"/>
    <w:rsid w:val="00426EC3"/>
    <w:rsid w:val="0042799E"/>
    <w:rsid w:val="00431C53"/>
    <w:rsid w:val="00432B5C"/>
    <w:rsid w:val="00437C1C"/>
    <w:rsid w:val="00440614"/>
    <w:rsid w:val="004409F9"/>
    <w:rsid w:val="004434EF"/>
    <w:rsid w:val="004435C8"/>
    <w:rsid w:val="004437CA"/>
    <w:rsid w:val="00446FD3"/>
    <w:rsid w:val="00452B77"/>
    <w:rsid w:val="00453182"/>
    <w:rsid w:val="00457538"/>
    <w:rsid w:val="004602AD"/>
    <w:rsid w:val="00463B38"/>
    <w:rsid w:val="00471FBA"/>
    <w:rsid w:val="00473657"/>
    <w:rsid w:val="00474400"/>
    <w:rsid w:val="00477388"/>
    <w:rsid w:val="00477560"/>
    <w:rsid w:val="00482B15"/>
    <w:rsid w:val="004846AA"/>
    <w:rsid w:val="00485B2A"/>
    <w:rsid w:val="004909B7"/>
    <w:rsid w:val="00495416"/>
    <w:rsid w:val="00495D0A"/>
    <w:rsid w:val="00497440"/>
    <w:rsid w:val="0049796C"/>
    <w:rsid w:val="004A224D"/>
    <w:rsid w:val="004A227B"/>
    <w:rsid w:val="004A5F9A"/>
    <w:rsid w:val="004B3CFD"/>
    <w:rsid w:val="004B6B78"/>
    <w:rsid w:val="004C26DB"/>
    <w:rsid w:val="004C5A01"/>
    <w:rsid w:val="004D1138"/>
    <w:rsid w:val="004D153E"/>
    <w:rsid w:val="004D18B9"/>
    <w:rsid w:val="004D3B83"/>
    <w:rsid w:val="004D5328"/>
    <w:rsid w:val="004D5C1D"/>
    <w:rsid w:val="004D61F3"/>
    <w:rsid w:val="004D768A"/>
    <w:rsid w:val="004E423B"/>
    <w:rsid w:val="004F0C79"/>
    <w:rsid w:val="004F3444"/>
    <w:rsid w:val="004F35AA"/>
    <w:rsid w:val="004F4C0B"/>
    <w:rsid w:val="004F7B8D"/>
    <w:rsid w:val="00500B59"/>
    <w:rsid w:val="00501C36"/>
    <w:rsid w:val="00501D6F"/>
    <w:rsid w:val="0050267A"/>
    <w:rsid w:val="00507EA9"/>
    <w:rsid w:val="00511EDE"/>
    <w:rsid w:val="00512979"/>
    <w:rsid w:val="00512EA1"/>
    <w:rsid w:val="0052036B"/>
    <w:rsid w:val="005218EB"/>
    <w:rsid w:val="005224EE"/>
    <w:rsid w:val="005228FE"/>
    <w:rsid w:val="00522FDB"/>
    <w:rsid w:val="00523D8A"/>
    <w:rsid w:val="00530BF6"/>
    <w:rsid w:val="00530D50"/>
    <w:rsid w:val="005337AC"/>
    <w:rsid w:val="00533F7B"/>
    <w:rsid w:val="00543A93"/>
    <w:rsid w:val="00543C4C"/>
    <w:rsid w:val="00544206"/>
    <w:rsid w:val="00545B2E"/>
    <w:rsid w:val="0054681B"/>
    <w:rsid w:val="00547417"/>
    <w:rsid w:val="00552282"/>
    <w:rsid w:val="00554155"/>
    <w:rsid w:val="00554627"/>
    <w:rsid w:val="00554DF9"/>
    <w:rsid w:val="00556A62"/>
    <w:rsid w:val="005571DE"/>
    <w:rsid w:val="00557494"/>
    <w:rsid w:val="005574DB"/>
    <w:rsid w:val="00557C25"/>
    <w:rsid w:val="00560D5F"/>
    <w:rsid w:val="005665BC"/>
    <w:rsid w:val="00573014"/>
    <w:rsid w:val="00573462"/>
    <w:rsid w:val="00573EB4"/>
    <w:rsid w:val="00574B21"/>
    <w:rsid w:val="0057626A"/>
    <w:rsid w:val="00576276"/>
    <w:rsid w:val="005764A0"/>
    <w:rsid w:val="00576829"/>
    <w:rsid w:val="00584BA4"/>
    <w:rsid w:val="00590706"/>
    <w:rsid w:val="005916B9"/>
    <w:rsid w:val="00592C65"/>
    <w:rsid w:val="00593697"/>
    <w:rsid w:val="00593B9B"/>
    <w:rsid w:val="00593FD0"/>
    <w:rsid w:val="00595F95"/>
    <w:rsid w:val="00596934"/>
    <w:rsid w:val="00596D95"/>
    <w:rsid w:val="005A02C4"/>
    <w:rsid w:val="005A2907"/>
    <w:rsid w:val="005B0200"/>
    <w:rsid w:val="005B1514"/>
    <w:rsid w:val="005B444E"/>
    <w:rsid w:val="005B5038"/>
    <w:rsid w:val="005B7DD6"/>
    <w:rsid w:val="005C0B9A"/>
    <w:rsid w:val="005C17AD"/>
    <w:rsid w:val="005C1890"/>
    <w:rsid w:val="005C2711"/>
    <w:rsid w:val="005C37E7"/>
    <w:rsid w:val="005C4E7C"/>
    <w:rsid w:val="005C5511"/>
    <w:rsid w:val="005C613C"/>
    <w:rsid w:val="005C688E"/>
    <w:rsid w:val="005D0257"/>
    <w:rsid w:val="005D02C5"/>
    <w:rsid w:val="005D08BF"/>
    <w:rsid w:val="005D3407"/>
    <w:rsid w:val="005D442B"/>
    <w:rsid w:val="005D7136"/>
    <w:rsid w:val="005E4842"/>
    <w:rsid w:val="005E4DDE"/>
    <w:rsid w:val="005F0357"/>
    <w:rsid w:val="005F0C06"/>
    <w:rsid w:val="005F61EE"/>
    <w:rsid w:val="005F6617"/>
    <w:rsid w:val="00600C8C"/>
    <w:rsid w:val="006033F3"/>
    <w:rsid w:val="00604C77"/>
    <w:rsid w:val="006110F7"/>
    <w:rsid w:val="00615C72"/>
    <w:rsid w:val="00616DBA"/>
    <w:rsid w:val="00622B88"/>
    <w:rsid w:val="00623CFE"/>
    <w:rsid w:val="00623D57"/>
    <w:rsid w:val="00631318"/>
    <w:rsid w:val="006323F5"/>
    <w:rsid w:val="00632CEE"/>
    <w:rsid w:val="00640E22"/>
    <w:rsid w:val="00641145"/>
    <w:rsid w:val="00641841"/>
    <w:rsid w:val="00642BCB"/>
    <w:rsid w:val="006451BE"/>
    <w:rsid w:val="00647BA9"/>
    <w:rsid w:val="00650CDE"/>
    <w:rsid w:val="00654B47"/>
    <w:rsid w:val="00663CAC"/>
    <w:rsid w:val="00675529"/>
    <w:rsid w:val="00675BF7"/>
    <w:rsid w:val="00676791"/>
    <w:rsid w:val="00680260"/>
    <w:rsid w:val="00682727"/>
    <w:rsid w:val="0068500D"/>
    <w:rsid w:val="006851E8"/>
    <w:rsid w:val="006858DF"/>
    <w:rsid w:val="006867F7"/>
    <w:rsid w:val="0068699D"/>
    <w:rsid w:val="0068703A"/>
    <w:rsid w:val="00690F60"/>
    <w:rsid w:val="006927C9"/>
    <w:rsid w:val="00697522"/>
    <w:rsid w:val="006A2427"/>
    <w:rsid w:val="006A4722"/>
    <w:rsid w:val="006A4A0B"/>
    <w:rsid w:val="006A6E89"/>
    <w:rsid w:val="006B28A1"/>
    <w:rsid w:val="006B38D6"/>
    <w:rsid w:val="006B6CCD"/>
    <w:rsid w:val="006C00CC"/>
    <w:rsid w:val="006C1846"/>
    <w:rsid w:val="006C4883"/>
    <w:rsid w:val="006C53CC"/>
    <w:rsid w:val="006D06A6"/>
    <w:rsid w:val="006D1B02"/>
    <w:rsid w:val="006D4FF4"/>
    <w:rsid w:val="006D715F"/>
    <w:rsid w:val="006D7ABA"/>
    <w:rsid w:val="006E13E4"/>
    <w:rsid w:val="006E1E92"/>
    <w:rsid w:val="006E2FC7"/>
    <w:rsid w:val="006E6DE0"/>
    <w:rsid w:val="00700F03"/>
    <w:rsid w:val="007010D9"/>
    <w:rsid w:val="0070124D"/>
    <w:rsid w:val="00701314"/>
    <w:rsid w:val="00701F41"/>
    <w:rsid w:val="00702C01"/>
    <w:rsid w:val="00704E03"/>
    <w:rsid w:val="007050CA"/>
    <w:rsid w:val="00705CFB"/>
    <w:rsid w:val="00706781"/>
    <w:rsid w:val="007120B7"/>
    <w:rsid w:val="00714D3B"/>
    <w:rsid w:val="00715F0B"/>
    <w:rsid w:val="00722A96"/>
    <w:rsid w:val="00724EAA"/>
    <w:rsid w:val="00725E95"/>
    <w:rsid w:val="00727F89"/>
    <w:rsid w:val="00730156"/>
    <w:rsid w:val="00741F31"/>
    <w:rsid w:val="00742888"/>
    <w:rsid w:val="00743102"/>
    <w:rsid w:val="00747DA9"/>
    <w:rsid w:val="0075022B"/>
    <w:rsid w:val="00751191"/>
    <w:rsid w:val="00753D03"/>
    <w:rsid w:val="00757BF6"/>
    <w:rsid w:val="00757FA2"/>
    <w:rsid w:val="00761627"/>
    <w:rsid w:val="0076222E"/>
    <w:rsid w:val="00762B4E"/>
    <w:rsid w:val="007638B0"/>
    <w:rsid w:val="00763CC9"/>
    <w:rsid w:val="007666AA"/>
    <w:rsid w:val="007667CC"/>
    <w:rsid w:val="00766C8D"/>
    <w:rsid w:val="00776BE8"/>
    <w:rsid w:val="00782E90"/>
    <w:rsid w:val="00785A6E"/>
    <w:rsid w:val="00787B7E"/>
    <w:rsid w:val="00797FB4"/>
    <w:rsid w:val="007A0153"/>
    <w:rsid w:val="007A0E21"/>
    <w:rsid w:val="007A25B7"/>
    <w:rsid w:val="007A3F1F"/>
    <w:rsid w:val="007A413B"/>
    <w:rsid w:val="007A449D"/>
    <w:rsid w:val="007A6B63"/>
    <w:rsid w:val="007B6124"/>
    <w:rsid w:val="007B6648"/>
    <w:rsid w:val="007C2F54"/>
    <w:rsid w:val="007C49F0"/>
    <w:rsid w:val="007C75C1"/>
    <w:rsid w:val="007D05EC"/>
    <w:rsid w:val="007D4075"/>
    <w:rsid w:val="007D4ACF"/>
    <w:rsid w:val="007E1B20"/>
    <w:rsid w:val="007E3DA7"/>
    <w:rsid w:val="007E68C6"/>
    <w:rsid w:val="007F0F60"/>
    <w:rsid w:val="007F1803"/>
    <w:rsid w:val="007F4F3B"/>
    <w:rsid w:val="007F556D"/>
    <w:rsid w:val="007F612F"/>
    <w:rsid w:val="008146F4"/>
    <w:rsid w:val="0081706E"/>
    <w:rsid w:val="00820A34"/>
    <w:rsid w:val="00825131"/>
    <w:rsid w:val="0083047B"/>
    <w:rsid w:val="00831AFB"/>
    <w:rsid w:val="0083227C"/>
    <w:rsid w:val="008361A2"/>
    <w:rsid w:val="008407B1"/>
    <w:rsid w:val="00840813"/>
    <w:rsid w:val="008434DE"/>
    <w:rsid w:val="0084514F"/>
    <w:rsid w:val="0084577C"/>
    <w:rsid w:val="00852B0C"/>
    <w:rsid w:val="00854C81"/>
    <w:rsid w:val="00855673"/>
    <w:rsid w:val="00857165"/>
    <w:rsid w:val="008575DE"/>
    <w:rsid w:val="008629D0"/>
    <w:rsid w:val="008634FB"/>
    <w:rsid w:val="0086511D"/>
    <w:rsid w:val="00866885"/>
    <w:rsid w:val="008821B0"/>
    <w:rsid w:val="0088601E"/>
    <w:rsid w:val="00887903"/>
    <w:rsid w:val="00893DCC"/>
    <w:rsid w:val="00894A02"/>
    <w:rsid w:val="00894B11"/>
    <w:rsid w:val="00897B1A"/>
    <w:rsid w:val="008A3AEE"/>
    <w:rsid w:val="008A40C2"/>
    <w:rsid w:val="008A4DE8"/>
    <w:rsid w:val="008A637B"/>
    <w:rsid w:val="008A7E99"/>
    <w:rsid w:val="008B09C2"/>
    <w:rsid w:val="008B3C34"/>
    <w:rsid w:val="008B6505"/>
    <w:rsid w:val="008C1100"/>
    <w:rsid w:val="008C3A51"/>
    <w:rsid w:val="008C6588"/>
    <w:rsid w:val="008D141B"/>
    <w:rsid w:val="008D2909"/>
    <w:rsid w:val="008D674D"/>
    <w:rsid w:val="008E2069"/>
    <w:rsid w:val="008E3D0C"/>
    <w:rsid w:val="008E421C"/>
    <w:rsid w:val="008E4543"/>
    <w:rsid w:val="008E5BBC"/>
    <w:rsid w:val="008E6A7B"/>
    <w:rsid w:val="008F18F6"/>
    <w:rsid w:val="008F2638"/>
    <w:rsid w:val="008F339D"/>
    <w:rsid w:val="008F6403"/>
    <w:rsid w:val="008F6926"/>
    <w:rsid w:val="00905BB9"/>
    <w:rsid w:val="00906EAB"/>
    <w:rsid w:val="00910806"/>
    <w:rsid w:val="009138EC"/>
    <w:rsid w:val="00914DC7"/>
    <w:rsid w:val="00917755"/>
    <w:rsid w:val="00917FEC"/>
    <w:rsid w:val="0093103B"/>
    <w:rsid w:val="009350D7"/>
    <w:rsid w:val="00940AB9"/>
    <w:rsid w:val="00943CBB"/>
    <w:rsid w:val="00947A15"/>
    <w:rsid w:val="00952C1D"/>
    <w:rsid w:val="0095631A"/>
    <w:rsid w:val="009640DD"/>
    <w:rsid w:val="00964A59"/>
    <w:rsid w:val="00965CE3"/>
    <w:rsid w:val="009677B7"/>
    <w:rsid w:val="00984B2B"/>
    <w:rsid w:val="00984C10"/>
    <w:rsid w:val="00986371"/>
    <w:rsid w:val="00987182"/>
    <w:rsid w:val="00991804"/>
    <w:rsid w:val="00992D73"/>
    <w:rsid w:val="009938E2"/>
    <w:rsid w:val="009956BD"/>
    <w:rsid w:val="00995A7C"/>
    <w:rsid w:val="00995C3D"/>
    <w:rsid w:val="009A0BF5"/>
    <w:rsid w:val="009A1740"/>
    <w:rsid w:val="009B0698"/>
    <w:rsid w:val="009B0793"/>
    <w:rsid w:val="009C0FE3"/>
    <w:rsid w:val="009C1048"/>
    <w:rsid w:val="009C5264"/>
    <w:rsid w:val="009D2934"/>
    <w:rsid w:val="009D4F6A"/>
    <w:rsid w:val="009D6F54"/>
    <w:rsid w:val="009E0AB3"/>
    <w:rsid w:val="009E0DCA"/>
    <w:rsid w:val="009E2614"/>
    <w:rsid w:val="009E3CF3"/>
    <w:rsid w:val="009E549E"/>
    <w:rsid w:val="009F6159"/>
    <w:rsid w:val="009F70B9"/>
    <w:rsid w:val="009F7C72"/>
    <w:rsid w:val="00A00C87"/>
    <w:rsid w:val="00A02D96"/>
    <w:rsid w:val="00A0469F"/>
    <w:rsid w:val="00A11526"/>
    <w:rsid w:val="00A1527C"/>
    <w:rsid w:val="00A27DBE"/>
    <w:rsid w:val="00A30CEB"/>
    <w:rsid w:val="00A31483"/>
    <w:rsid w:val="00A32033"/>
    <w:rsid w:val="00A32129"/>
    <w:rsid w:val="00A36018"/>
    <w:rsid w:val="00A3750E"/>
    <w:rsid w:val="00A424DC"/>
    <w:rsid w:val="00A43BF6"/>
    <w:rsid w:val="00A470B1"/>
    <w:rsid w:val="00A52296"/>
    <w:rsid w:val="00A526DB"/>
    <w:rsid w:val="00A52835"/>
    <w:rsid w:val="00A63EBF"/>
    <w:rsid w:val="00A665FD"/>
    <w:rsid w:val="00A677A8"/>
    <w:rsid w:val="00A715A4"/>
    <w:rsid w:val="00A76C5A"/>
    <w:rsid w:val="00A76DB1"/>
    <w:rsid w:val="00A77744"/>
    <w:rsid w:val="00A8002B"/>
    <w:rsid w:val="00A81CC8"/>
    <w:rsid w:val="00A87737"/>
    <w:rsid w:val="00A942B6"/>
    <w:rsid w:val="00AA11CD"/>
    <w:rsid w:val="00AA1FDF"/>
    <w:rsid w:val="00AA31BE"/>
    <w:rsid w:val="00AA338C"/>
    <w:rsid w:val="00AA710C"/>
    <w:rsid w:val="00AB002A"/>
    <w:rsid w:val="00AB0CD7"/>
    <w:rsid w:val="00AB1E18"/>
    <w:rsid w:val="00AB244D"/>
    <w:rsid w:val="00AB2D37"/>
    <w:rsid w:val="00AB45F1"/>
    <w:rsid w:val="00AB468A"/>
    <w:rsid w:val="00AC0E60"/>
    <w:rsid w:val="00AC27C9"/>
    <w:rsid w:val="00AC3DD8"/>
    <w:rsid w:val="00AC46DB"/>
    <w:rsid w:val="00AC4821"/>
    <w:rsid w:val="00AC4A37"/>
    <w:rsid w:val="00AC67F4"/>
    <w:rsid w:val="00AD106A"/>
    <w:rsid w:val="00AD2D56"/>
    <w:rsid w:val="00AE07A3"/>
    <w:rsid w:val="00AE10F8"/>
    <w:rsid w:val="00AE1AA6"/>
    <w:rsid w:val="00AE345C"/>
    <w:rsid w:val="00AE4766"/>
    <w:rsid w:val="00AE4C50"/>
    <w:rsid w:val="00AE75C4"/>
    <w:rsid w:val="00AE781C"/>
    <w:rsid w:val="00AF0BAD"/>
    <w:rsid w:val="00AF2E77"/>
    <w:rsid w:val="00AF3C16"/>
    <w:rsid w:val="00AF628F"/>
    <w:rsid w:val="00AF7DDF"/>
    <w:rsid w:val="00B01543"/>
    <w:rsid w:val="00B027FE"/>
    <w:rsid w:val="00B02FD6"/>
    <w:rsid w:val="00B05023"/>
    <w:rsid w:val="00B14B24"/>
    <w:rsid w:val="00B16469"/>
    <w:rsid w:val="00B20031"/>
    <w:rsid w:val="00B2097C"/>
    <w:rsid w:val="00B217E3"/>
    <w:rsid w:val="00B24A68"/>
    <w:rsid w:val="00B25D07"/>
    <w:rsid w:val="00B278B6"/>
    <w:rsid w:val="00B311BE"/>
    <w:rsid w:val="00B312FE"/>
    <w:rsid w:val="00B3269C"/>
    <w:rsid w:val="00B35B9E"/>
    <w:rsid w:val="00B36C3D"/>
    <w:rsid w:val="00B436FE"/>
    <w:rsid w:val="00B444BC"/>
    <w:rsid w:val="00B47FAE"/>
    <w:rsid w:val="00B52592"/>
    <w:rsid w:val="00B53BB3"/>
    <w:rsid w:val="00B570E4"/>
    <w:rsid w:val="00B5792A"/>
    <w:rsid w:val="00B61F65"/>
    <w:rsid w:val="00B6756A"/>
    <w:rsid w:val="00B716D8"/>
    <w:rsid w:val="00B72DDE"/>
    <w:rsid w:val="00B75E63"/>
    <w:rsid w:val="00B81C43"/>
    <w:rsid w:val="00B82381"/>
    <w:rsid w:val="00B82941"/>
    <w:rsid w:val="00B82F81"/>
    <w:rsid w:val="00B84952"/>
    <w:rsid w:val="00B90E95"/>
    <w:rsid w:val="00B912F4"/>
    <w:rsid w:val="00B93506"/>
    <w:rsid w:val="00B93C29"/>
    <w:rsid w:val="00B94EEC"/>
    <w:rsid w:val="00BA3627"/>
    <w:rsid w:val="00BA403E"/>
    <w:rsid w:val="00BA553A"/>
    <w:rsid w:val="00BA5608"/>
    <w:rsid w:val="00BB3EC7"/>
    <w:rsid w:val="00BB6AEA"/>
    <w:rsid w:val="00BC41C6"/>
    <w:rsid w:val="00BC5EB4"/>
    <w:rsid w:val="00BC6175"/>
    <w:rsid w:val="00BC7E5B"/>
    <w:rsid w:val="00BD08C5"/>
    <w:rsid w:val="00BD4A0C"/>
    <w:rsid w:val="00BD4C17"/>
    <w:rsid w:val="00BD7392"/>
    <w:rsid w:val="00BD7E55"/>
    <w:rsid w:val="00BE4C49"/>
    <w:rsid w:val="00BE58C6"/>
    <w:rsid w:val="00BE634D"/>
    <w:rsid w:val="00BE6CD4"/>
    <w:rsid w:val="00BF002C"/>
    <w:rsid w:val="00BF1FA7"/>
    <w:rsid w:val="00BF3459"/>
    <w:rsid w:val="00BF405B"/>
    <w:rsid w:val="00BF4903"/>
    <w:rsid w:val="00BF752E"/>
    <w:rsid w:val="00C02291"/>
    <w:rsid w:val="00C027DA"/>
    <w:rsid w:val="00C0543C"/>
    <w:rsid w:val="00C05F66"/>
    <w:rsid w:val="00C12D17"/>
    <w:rsid w:val="00C12D6A"/>
    <w:rsid w:val="00C13E6C"/>
    <w:rsid w:val="00C17A0E"/>
    <w:rsid w:val="00C17B4E"/>
    <w:rsid w:val="00C206F6"/>
    <w:rsid w:val="00C25280"/>
    <w:rsid w:val="00C25CF3"/>
    <w:rsid w:val="00C27828"/>
    <w:rsid w:val="00C32B12"/>
    <w:rsid w:val="00C32C57"/>
    <w:rsid w:val="00C361F9"/>
    <w:rsid w:val="00C50B87"/>
    <w:rsid w:val="00C51CEF"/>
    <w:rsid w:val="00C5327E"/>
    <w:rsid w:val="00C56353"/>
    <w:rsid w:val="00C57121"/>
    <w:rsid w:val="00C6043D"/>
    <w:rsid w:val="00C61FAA"/>
    <w:rsid w:val="00C630A5"/>
    <w:rsid w:val="00C650C1"/>
    <w:rsid w:val="00C67E4E"/>
    <w:rsid w:val="00C71063"/>
    <w:rsid w:val="00C738F0"/>
    <w:rsid w:val="00C80669"/>
    <w:rsid w:val="00C83141"/>
    <w:rsid w:val="00C8389A"/>
    <w:rsid w:val="00C83A61"/>
    <w:rsid w:val="00C8414A"/>
    <w:rsid w:val="00C934B7"/>
    <w:rsid w:val="00C93989"/>
    <w:rsid w:val="00CA26E1"/>
    <w:rsid w:val="00CA4B23"/>
    <w:rsid w:val="00CA6BDA"/>
    <w:rsid w:val="00CB0899"/>
    <w:rsid w:val="00CB2F5B"/>
    <w:rsid w:val="00CB44EF"/>
    <w:rsid w:val="00CC0AC7"/>
    <w:rsid w:val="00CC0D3F"/>
    <w:rsid w:val="00CD2469"/>
    <w:rsid w:val="00CD3742"/>
    <w:rsid w:val="00CD3E95"/>
    <w:rsid w:val="00CD52C2"/>
    <w:rsid w:val="00CE24CD"/>
    <w:rsid w:val="00CE2C45"/>
    <w:rsid w:val="00CE3C00"/>
    <w:rsid w:val="00CE3E17"/>
    <w:rsid w:val="00CE3E86"/>
    <w:rsid w:val="00CE770E"/>
    <w:rsid w:val="00CF0356"/>
    <w:rsid w:val="00CF2DE0"/>
    <w:rsid w:val="00CF5054"/>
    <w:rsid w:val="00CF5056"/>
    <w:rsid w:val="00CF7397"/>
    <w:rsid w:val="00D0184E"/>
    <w:rsid w:val="00D01FAA"/>
    <w:rsid w:val="00D03351"/>
    <w:rsid w:val="00D0433D"/>
    <w:rsid w:val="00D0493C"/>
    <w:rsid w:val="00D0782D"/>
    <w:rsid w:val="00D107E7"/>
    <w:rsid w:val="00D12A65"/>
    <w:rsid w:val="00D14DF5"/>
    <w:rsid w:val="00D15153"/>
    <w:rsid w:val="00D1515D"/>
    <w:rsid w:val="00D16DE2"/>
    <w:rsid w:val="00D21978"/>
    <w:rsid w:val="00D2308D"/>
    <w:rsid w:val="00D250BF"/>
    <w:rsid w:val="00D25651"/>
    <w:rsid w:val="00D278B0"/>
    <w:rsid w:val="00D27AA7"/>
    <w:rsid w:val="00D323AF"/>
    <w:rsid w:val="00D37FA5"/>
    <w:rsid w:val="00D427F7"/>
    <w:rsid w:val="00D45869"/>
    <w:rsid w:val="00D4711D"/>
    <w:rsid w:val="00D47CF1"/>
    <w:rsid w:val="00D526E7"/>
    <w:rsid w:val="00D52C97"/>
    <w:rsid w:val="00D60D50"/>
    <w:rsid w:val="00D61625"/>
    <w:rsid w:val="00D63C5E"/>
    <w:rsid w:val="00D6490B"/>
    <w:rsid w:val="00D74500"/>
    <w:rsid w:val="00D766E1"/>
    <w:rsid w:val="00D7685E"/>
    <w:rsid w:val="00D76C8B"/>
    <w:rsid w:val="00D81A3B"/>
    <w:rsid w:val="00D81D47"/>
    <w:rsid w:val="00D82ED9"/>
    <w:rsid w:val="00D82FF7"/>
    <w:rsid w:val="00D83448"/>
    <w:rsid w:val="00D87367"/>
    <w:rsid w:val="00D874B2"/>
    <w:rsid w:val="00D874F8"/>
    <w:rsid w:val="00D9119F"/>
    <w:rsid w:val="00D91AB0"/>
    <w:rsid w:val="00D93D4E"/>
    <w:rsid w:val="00D93E0F"/>
    <w:rsid w:val="00D943A8"/>
    <w:rsid w:val="00D94742"/>
    <w:rsid w:val="00D97D89"/>
    <w:rsid w:val="00DA29D1"/>
    <w:rsid w:val="00DA4AB1"/>
    <w:rsid w:val="00DA5885"/>
    <w:rsid w:val="00DA73AF"/>
    <w:rsid w:val="00DB268D"/>
    <w:rsid w:val="00DB3A07"/>
    <w:rsid w:val="00DB755B"/>
    <w:rsid w:val="00DC087F"/>
    <w:rsid w:val="00DC0F08"/>
    <w:rsid w:val="00DC4D4B"/>
    <w:rsid w:val="00DD0327"/>
    <w:rsid w:val="00DD1C77"/>
    <w:rsid w:val="00DD27DD"/>
    <w:rsid w:val="00DD3E34"/>
    <w:rsid w:val="00DD627C"/>
    <w:rsid w:val="00DF0F66"/>
    <w:rsid w:val="00DF2AC4"/>
    <w:rsid w:val="00DF323E"/>
    <w:rsid w:val="00DF3352"/>
    <w:rsid w:val="00DF46E1"/>
    <w:rsid w:val="00DF5688"/>
    <w:rsid w:val="00E0127C"/>
    <w:rsid w:val="00E02C93"/>
    <w:rsid w:val="00E034DD"/>
    <w:rsid w:val="00E04075"/>
    <w:rsid w:val="00E047D5"/>
    <w:rsid w:val="00E103A3"/>
    <w:rsid w:val="00E103AB"/>
    <w:rsid w:val="00E141E6"/>
    <w:rsid w:val="00E149F9"/>
    <w:rsid w:val="00E235FB"/>
    <w:rsid w:val="00E25357"/>
    <w:rsid w:val="00E30CF9"/>
    <w:rsid w:val="00E31B75"/>
    <w:rsid w:val="00E32751"/>
    <w:rsid w:val="00E33B2C"/>
    <w:rsid w:val="00E35E1F"/>
    <w:rsid w:val="00E4059E"/>
    <w:rsid w:val="00E407BD"/>
    <w:rsid w:val="00E409B9"/>
    <w:rsid w:val="00E44AD5"/>
    <w:rsid w:val="00E4669C"/>
    <w:rsid w:val="00E46B52"/>
    <w:rsid w:val="00E506C6"/>
    <w:rsid w:val="00E52E74"/>
    <w:rsid w:val="00E54CDE"/>
    <w:rsid w:val="00E5545B"/>
    <w:rsid w:val="00E60447"/>
    <w:rsid w:val="00E60611"/>
    <w:rsid w:val="00E63625"/>
    <w:rsid w:val="00E63968"/>
    <w:rsid w:val="00E651DA"/>
    <w:rsid w:val="00E66EE5"/>
    <w:rsid w:val="00E706C5"/>
    <w:rsid w:val="00E727B2"/>
    <w:rsid w:val="00E7612C"/>
    <w:rsid w:val="00E84A95"/>
    <w:rsid w:val="00E8574B"/>
    <w:rsid w:val="00E912E7"/>
    <w:rsid w:val="00E91443"/>
    <w:rsid w:val="00E92C87"/>
    <w:rsid w:val="00E93086"/>
    <w:rsid w:val="00EA00AA"/>
    <w:rsid w:val="00EA0CF1"/>
    <w:rsid w:val="00EA2689"/>
    <w:rsid w:val="00EA7A56"/>
    <w:rsid w:val="00EB00B5"/>
    <w:rsid w:val="00EB04E5"/>
    <w:rsid w:val="00EB1D56"/>
    <w:rsid w:val="00EB22F1"/>
    <w:rsid w:val="00EB2D4E"/>
    <w:rsid w:val="00EB2D54"/>
    <w:rsid w:val="00EB3FD2"/>
    <w:rsid w:val="00EB6143"/>
    <w:rsid w:val="00EC1650"/>
    <w:rsid w:val="00EC1FA7"/>
    <w:rsid w:val="00EC55D2"/>
    <w:rsid w:val="00EC6A08"/>
    <w:rsid w:val="00EC7D6F"/>
    <w:rsid w:val="00ED0F08"/>
    <w:rsid w:val="00ED1F9C"/>
    <w:rsid w:val="00EE152D"/>
    <w:rsid w:val="00EE22B5"/>
    <w:rsid w:val="00EE3A54"/>
    <w:rsid w:val="00EF026F"/>
    <w:rsid w:val="00EF634F"/>
    <w:rsid w:val="00F03230"/>
    <w:rsid w:val="00F04BC7"/>
    <w:rsid w:val="00F06123"/>
    <w:rsid w:val="00F06153"/>
    <w:rsid w:val="00F119B6"/>
    <w:rsid w:val="00F16F07"/>
    <w:rsid w:val="00F244AC"/>
    <w:rsid w:val="00F250CE"/>
    <w:rsid w:val="00F25EFD"/>
    <w:rsid w:val="00F26832"/>
    <w:rsid w:val="00F31141"/>
    <w:rsid w:val="00F3426F"/>
    <w:rsid w:val="00F410E9"/>
    <w:rsid w:val="00F4313B"/>
    <w:rsid w:val="00F4323A"/>
    <w:rsid w:val="00F43264"/>
    <w:rsid w:val="00F47597"/>
    <w:rsid w:val="00F47847"/>
    <w:rsid w:val="00F63AE6"/>
    <w:rsid w:val="00F64372"/>
    <w:rsid w:val="00F65398"/>
    <w:rsid w:val="00F67A27"/>
    <w:rsid w:val="00F708B3"/>
    <w:rsid w:val="00F7651F"/>
    <w:rsid w:val="00F81B60"/>
    <w:rsid w:val="00F81D28"/>
    <w:rsid w:val="00F8219A"/>
    <w:rsid w:val="00F91E00"/>
    <w:rsid w:val="00F92305"/>
    <w:rsid w:val="00F95A2A"/>
    <w:rsid w:val="00FA09D4"/>
    <w:rsid w:val="00FA0B09"/>
    <w:rsid w:val="00FA1A7D"/>
    <w:rsid w:val="00FA1AC7"/>
    <w:rsid w:val="00FA4196"/>
    <w:rsid w:val="00FA4B8F"/>
    <w:rsid w:val="00FB1B22"/>
    <w:rsid w:val="00FB1BD8"/>
    <w:rsid w:val="00FB2115"/>
    <w:rsid w:val="00FB4ED3"/>
    <w:rsid w:val="00FB5B63"/>
    <w:rsid w:val="00FC3AC2"/>
    <w:rsid w:val="00FC5C57"/>
    <w:rsid w:val="00FC5F2A"/>
    <w:rsid w:val="00FC6F73"/>
    <w:rsid w:val="00FD28A9"/>
    <w:rsid w:val="00FD431C"/>
    <w:rsid w:val="00FD5603"/>
    <w:rsid w:val="00FD6757"/>
    <w:rsid w:val="00FE0919"/>
    <w:rsid w:val="00FE1789"/>
    <w:rsid w:val="00FE2D36"/>
    <w:rsid w:val="00FE3CD3"/>
    <w:rsid w:val="00FE5C49"/>
    <w:rsid w:val="00FE6956"/>
    <w:rsid w:val="00FE6D4F"/>
    <w:rsid w:val="00FF0144"/>
    <w:rsid w:val="00FF165C"/>
    <w:rsid w:val="00FF171C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8EDDD7"/>
  <w15:docId w15:val="{660C63D8-2E24-4A74-B099-16251863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B1A"/>
    <w:pPr>
      <w:spacing w:after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337B8D"/>
    <w:pPr>
      <w:keepNext/>
      <w:keepLines/>
      <w:spacing w:before="36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35E1F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97B1A"/>
    <w:pPr>
      <w:keepNext/>
      <w:keepLines/>
      <w:spacing w:before="120"/>
      <w:outlineLvl w:val="2"/>
    </w:pPr>
    <w:rPr>
      <w:rFonts w:eastAsiaTheme="majorEastAsia" w:cstheme="majorBidi"/>
      <w:i/>
      <w:color w:val="auto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116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5E1F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897B1A"/>
    <w:rPr>
      <w:rFonts w:ascii="Arial" w:eastAsiaTheme="majorEastAsia" w:hAnsi="Arial" w:cstheme="majorBidi"/>
      <w:i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37B8D"/>
    <w:pPr>
      <w:spacing w:before="120" w:line="240" w:lineRule="auto"/>
      <w:contextualSpacing/>
    </w:pPr>
    <w:rPr>
      <w:rFonts w:eastAsiaTheme="majorEastAsia" w:cstheme="majorBidi"/>
      <w:b/>
      <w:color w:val="007D5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B8D"/>
    <w:rPr>
      <w:rFonts w:ascii="Arial" w:eastAsiaTheme="majorEastAsia" w:hAnsi="Arial" w:cstheme="majorBidi"/>
      <w:b/>
      <w:color w:val="007D57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711D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D4711D"/>
    <w:rPr>
      <w:rFonts w:ascii="Arial" w:hAnsi="Arial"/>
      <w:i/>
      <w:iCs/>
      <w:color w:val="262626" w:themeColor="text1" w:themeTint="D9"/>
      <w:sz w:val="24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qFormat/>
    <w:rsid w:val="004B6B78"/>
    <w:rPr>
      <w:rFonts w:ascii="Arial" w:hAnsi="Arial"/>
      <w:b/>
      <w:bCs/>
      <w:color w:val="262626" w:themeColor="text1" w:themeTint="D9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3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E68C6"/>
    <w:pPr>
      <w:spacing w:after="200" w:line="240" w:lineRule="auto"/>
    </w:pPr>
    <w:rPr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F4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33B2C"/>
    <w:rPr>
      <w:rFonts w:ascii="Arial" w:hAnsi="Arial"/>
      <w:color w:val="404040" w:themeColor="text1" w:themeTint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22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96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96"/>
    <w:rPr>
      <w:rFonts w:ascii="Arial" w:hAnsi="Arial"/>
      <w:color w:val="404040" w:themeColor="text1" w:themeTint="B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96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5C57"/>
    <w:pPr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69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TableElegant">
    <w:name w:val="Table Elegant"/>
    <w:basedOn w:val="TableNormal"/>
    <w:rsid w:val="0041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03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">
    <w:name w:val="para"/>
    <w:basedOn w:val="Normal"/>
    <w:next w:val="Normal"/>
    <w:rsid w:val="00AC4A37"/>
    <w:pPr>
      <w:tabs>
        <w:tab w:val="left" w:pos="567"/>
        <w:tab w:val="left" w:pos="1134"/>
        <w:tab w:val="left" w:pos="1701"/>
      </w:tabs>
      <w:spacing w:before="120" w:after="0" w:line="240" w:lineRule="auto"/>
    </w:pPr>
    <w:rPr>
      <w:rFonts w:eastAsia="Times New Roman" w:cs="Arial"/>
      <w:color w:val="auto"/>
      <w:szCs w:val="20"/>
      <w:lang w:eastAsia="en-AU"/>
    </w:rPr>
  </w:style>
  <w:style w:type="paragraph" w:customStyle="1" w:styleId="Author">
    <w:name w:val="Author"/>
    <w:basedOn w:val="Normal"/>
    <w:rsid w:val="00AC4A37"/>
    <w:pPr>
      <w:tabs>
        <w:tab w:val="left" w:pos="567"/>
        <w:tab w:val="left" w:pos="1134"/>
        <w:tab w:val="left" w:pos="1701"/>
      </w:tabs>
      <w:spacing w:before="120" w:after="0" w:line="240" w:lineRule="auto"/>
    </w:pPr>
    <w:rPr>
      <w:rFonts w:eastAsia="Times New Roman" w:cs="Arial"/>
      <w:b/>
      <w:bCs/>
      <w:color w:val="auto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0FC7"/>
    <w:pPr>
      <w:spacing w:after="0" w:line="240" w:lineRule="auto"/>
    </w:pPr>
    <w:rPr>
      <w:rFonts w:ascii="Calibri" w:eastAsia="Calibri" w:hAnsi="Calibri" w:cs="Times New Roman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0FC7"/>
    <w:rPr>
      <w:rFonts w:ascii="Calibri" w:eastAsia="Calibri" w:hAnsi="Calibri" w:cs="Times New Roman"/>
      <w:szCs w:val="21"/>
    </w:rPr>
  </w:style>
  <w:style w:type="paragraph" w:styleId="Revision">
    <w:name w:val="Revision"/>
    <w:hidden/>
    <w:uiPriority w:val="99"/>
    <w:semiHidden/>
    <w:rsid w:val="008407B1"/>
    <w:pPr>
      <w:spacing w:after="0" w:line="240" w:lineRule="auto"/>
    </w:pPr>
    <w:rPr>
      <w:rFonts w:ascii="Arial" w:hAnsi="Arial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4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4222">
                                  <w:marLeft w:val="2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1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33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giwa.org.au/201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s://researchrepository.murdoch.edu.au/id/eprint/5274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jpg@01D5DB6F.E7BD8DF0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cid:image005.jpg@01D5DB70.5DEDBFE0" TargetMode="External"/><Relationship Id="rId19" Type="http://schemas.openxmlformats.org/officeDocument/2006/relationships/hyperlink" Target="http://www.rootdisease.aweb.net.a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5DB6F.997F3080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swift\Documents\Documents\Field%20Trials\2019NO33%20RLN%20Rhizo%20Trial%202019\Results\2019NO33%20Grain%20harvest%20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swift\Documents\Documents\Field%20Trials\Dumbleyung%20RLN%20Trial%202019\Copy%20of%20DATA%20-%202019%20season%20wheat%20crop%20(A4222369)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30476517778024"/>
          <c:y val="6.4585727459743211E-2"/>
          <c:w val="0.87141262971267663"/>
          <c:h val="0.6482636501423237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Graphs!$B$4:$B$13</c:f>
              <c:strCache>
                <c:ptCount val="10"/>
                <c:pt idx="0">
                  <c:v>Barley</c:v>
                </c:pt>
                <c:pt idx="1">
                  <c:v>Wheat (Calingiri)</c:v>
                </c:pt>
                <c:pt idx="2">
                  <c:v>Wheat (Mace)</c:v>
                </c:pt>
                <c:pt idx="3">
                  <c:v>Canola</c:v>
                </c:pt>
                <c:pt idx="4">
                  <c:v>Chickpea</c:v>
                </c:pt>
                <c:pt idx="5">
                  <c:v>Clover</c:v>
                </c:pt>
                <c:pt idx="6">
                  <c:v>Field pea</c:v>
                </c:pt>
                <c:pt idx="7">
                  <c:v>Lupins</c:v>
                </c:pt>
                <c:pt idx="8">
                  <c:v>Serradella</c:v>
                </c:pt>
                <c:pt idx="9">
                  <c:v>Fallow</c:v>
                </c:pt>
              </c:strCache>
            </c:strRef>
          </c:cat>
          <c:val>
            <c:numRef>
              <c:f>Graphs!$C$4:$C$13</c:f>
              <c:numCache>
                <c:formatCode>General</c:formatCode>
                <c:ptCount val="10"/>
                <c:pt idx="0">
                  <c:v>0.68300000000000005</c:v>
                </c:pt>
                <c:pt idx="1">
                  <c:v>0.74399999999999999</c:v>
                </c:pt>
                <c:pt idx="2">
                  <c:v>0.81200000000000006</c:v>
                </c:pt>
                <c:pt idx="3">
                  <c:v>0.98099999999999998</c:v>
                </c:pt>
                <c:pt idx="4">
                  <c:v>1.0349999999999999</c:v>
                </c:pt>
                <c:pt idx="5">
                  <c:v>1.042</c:v>
                </c:pt>
                <c:pt idx="6">
                  <c:v>1.109</c:v>
                </c:pt>
                <c:pt idx="7">
                  <c:v>1.143</c:v>
                </c:pt>
                <c:pt idx="8">
                  <c:v>1.224</c:v>
                </c:pt>
                <c:pt idx="9">
                  <c:v>1.353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EB-4DF2-B933-D8932EA1D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32639"/>
        <c:axId val="536435967"/>
      </c:barChart>
      <c:catAx>
        <c:axId val="53643263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/>
                  <a:t>Crop treatment sown in 2018</a:t>
                </a:r>
              </a:p>
            </c:rich>
          </c:tx>
          <c:layout>
            <c:manualLayout>
              <c:xMode val="edge"/>
              <c:yMode val="edge"/>
              <c:x val="0.36077262693156731"/>
              <c:y val="0.937229437229437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36435967"/>
        <c:crosses val="autoZero"/>
        <c:auto val="1"/>
        <c:lblAlgn val="ctr"/>
        <c:lblOffset val="100"/>
        <c:noMultiLvlLbl val="0"/>
      </c:catAx>
      <c:valAx>
        <c:axId val="53643596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/>
                  <a:t>Grain yield t/ha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364326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26182178047416"/>
          <c:y val="4.0281973816717019E-2"/>
          <c:w val="0.83468353341078272"/>
          <c:h val="0.7673125262665428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'Harvest data'!$H$6:$K$6</c:f>
              <c:strCache>
                <c:ptCount val="4"/>
                <c:pt idx="0">
                  <c:v>Lupin</c:v>
                </c:pt>
                <c:pt idx="1">
                  <c:v>Faba bean</c:v>
                </c:pt>
                <c:pt idx="2">
                  <c:v>Canola</c:v>
                </c:pt>
                <c:pt idx="3">
                  <c:v>Serradella</c:v>
                </c:pt>
              </c:strCache>
            </c:strRef>
          </c:cat>
          <c:val>
            <c:numRef>
              <c:f>'Harvest data'!$H$7:$K$7</c:f>
              <c:numCache>
                <c:formatCode>0.0</c:formatCode>
                <c:ptCount val="4"/>
                <c:pt idx="0">
                  <c:v>2.9050000000000002</c:v>
                </c:pt>
                <c:pt idx="1">
                  <c:v>3.0150000000000001</c:v>
                </c:pt>
                <c:pt idx="2">
                  <c:v>2.7737499999999997</c:v>
                </c:pt>
                <c:pt idx="3">
                  <c:v>1.5387499999999998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AB-4FEA-968A-FC48DCDCE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414256"/>
        <c:axId val="220413840"/>
      </c:barChart>
      <c:catAx>
        <c:axId val="2204142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/>
                  <a:t>Crop treatment sown in 2018</a:t>
                </a:r>
              </a:p>
            </c:rich>
          </c:tx>
          <c:layout>
            <c:manualLayout>
              <c:xMode val="edge"/>
              <c:yMode val="edge"/>
              <c:x val="0.35245428337851209"/>
              <c:y val="0.92237512984592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0413840"/>
        <c:crosses val="autoZero"/>
        <c:auto val="1"/>
        <c:lblAlgn val="ctr"/>
        <c:lblOffset val="100"/>
        <c:noMultiLvlLbl val="0"/>
      </c:catAx>
      <c:valAx>
        <c:axId val="2204138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/>
                  <a:t>Grain yield (t/ha)</a:t>
                </a:r>
              </a:p>
            </c:rich>
          </c:tx>
          <c:layout>
            <c:manualLayout>
              <c:xMode val="edge"/>
              <c:yMode val="edge"/>
              <c:x val="1.1293188761240911E-2"/>
              <c:y val="0.236462322874293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0414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2FF-4C19-9159-EDEFCFF5A45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2FF-4C19-9159-EDEFCFF5A45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2FF-4C19-9159-EDEFCFF5A456}"/>
              </c:ext>
            </c:extLst>
          </c:dPt>
          <c:dPt>
            <c:idx val="3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2FF-4C19-9159-EDEFCFF5A45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2FF-4C19-9159-EDEFCFF5A45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2FF-4C19-9159-EDEFCFF5A456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F2FF-4C19-9159-EDEFCFF5A456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F2FF-4C19-9159-EDEFCFF5A456}"/>
              </c:ext>
            </c:extLst>
          </c:dPt>
          <c:cat>
            <c:strRef>
              <c:f>'graph yieldbiomass'!$B$15:$B$21</c:f>
              <c:strCache>
                <c:ptCount val="7"/>
                <c:pt idx="0">
                  <c:v>Canola (Stingray)</c:v>
                </c:pt>
                <c:pt idx="1">
                  <c:v>Chickpea (Striker)</c:v>
                </c:pt>
                <c:pt idx="2">
                  <c:v>Serradella (Eliza)</c:v>
                </c:pt>
                <c:pt idx="3">
                  <c:v>Lupin (Mandelup)</c:v>
                </c:pt>
                <c:pt idx="4">
                  <c:v>Oat (Williams)</c:v>
                </c:pt>
                <c:pt idx="5">
                  <c:v>Barley (LaTrobe)</c:v>
                </c:pt>
                <c:pt idx="6">
                  <c:v>Wheat (Calingiri)</c:v>
                </c:pt>
              </c:strCache>
            </c:strRef>
          </c:cat>
          <c:val>
            <c:numRef>
              <c:f>'graph yieldbiomass'!$D$15:$D$21</c:f>
              <c:numCache>
                <c:formatCode>0.0</c:formatCode>
                <c:ptCount val="7"/>
                <c:pt idx="0">
                  <c:v>0.1018</c:v>
                </c:pt>
                <c:pt idx="1">
                  <c:v>0.20349999999999999</c:v>
                </c:pt>
                <c:pt idx="2">
                  <c:v>0.27489999999999998</c:v>
                </c:pt>
                <c:pt idx="3">
                  <c:v>0.63859999999999995</c:v>
                </c:pt>
                <c:pt idx="4">
                  <c:v>1.073</c:v>
                </c:pt>
                <c:pt idx="5">
                  <c:v>1.2891999999999999</c:v>
                </c:pt>
                <c:pt idx="6">
                  <c:v>1.5550999999999999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2FF-4C19-9159-EDEFCFF5A4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489543168"/>
        <c:axId val="489542336"/>
      </c:barChart>
      <c:catAx>
        <c:axId val="4895431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/>
                  <a:t>Treatment crops sown</a:t>
                </a:r>
                <a:r>
                  <a:rPr lang="en-AU" baseline="0"/>
                  <a:t> 2019</a:t>
                </a:r>
              </a:p>
            </c:rich>
          </c:tx>
          <c:layout>
            <c:manualLayout>
              <c:xMode val="edge"/>
              <c:yMode val="edge"/>
              <c:x val="0.36431955380577435"/>
              <c:y val="0.917281466577241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89542336"/>
        <c:crosses val="autoZero"/>
        <c:auto val="1"/>
        <c:lblAlgn val="ctr"/>
        <c:lblOffset val="100"/>
        <c:noMultiLvlLbl val="0"/>
      </c:catAx>
      <c:valAx>
        <c:axId val="489542336"/>
        <c:scaling>
          <c:orientation val="minMax"/>
          <c:max val="1.6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/>
                  <a:t>Yield (t/ha)</a:t>
                </a:r>
              </a:p>
            </c:rich>
          </c:tx>
          <c:layout>
            <c:manualLayout>
              <c:xMode val="edge"/>
              <c:yMode val="edge"/>
              <c:x val="1.1111111111111112E-2"/>
              <c:y val="0.330817802704239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8954316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0.11991</cdr:x>
      <cdr:y>0.28831</cdr:y>
    </cdr:from>
    <cdr:to>
      <cdr:x>0.18033</cdr:x>
      <cdr:y>0.37273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89848" y="845816"/>
          <a:ext cx="347602" cy="247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AU" sz="1100">
              <a:latin typeface="Arial" panose="020B0604020202020204" pitchFamily="34" charset="0"/>
              <a:cs typeface="Arial" panose="020B0604020202020204" pitchFamily="34" charset="0"/>
            </a:rPr>
            <a:t>a*</a:t>
          </a:r>
        </a:p>
      </cdr:txBody>
    </cdr:sp>
  </cdr:relSizeAnchor>
  <cdr:relSizeAnchor xmlns:cdr="http://schemas.openxmlformats.org/drawingml/2006/chartDrawing">
    <cdr:from>
      <cdr:x>0.20248</cdr:x>
      <cdr:y>0.27373</cdr:y>
    </cdr:from>
    <cdr:to>
      <cdr:x>0.26707</cdr:x>
      <cdr:y>0.38137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64908" y="803049"/>
          <a:ext cx="371592" cy="3157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AU" sz="1100">
              <a:latin typeface="Arial" panose="020B0604020202020204" pitchFamily="34" charset="0"/>
              <a:cs typeface="Arial" panose="020B0604020202020204" pitchFamily="34" charset="0"/>
            </a:rPr>
            <a:t>a</a:t>
          </a:r>
        </a:p>
      </cdr:txBody>
    </cdr:sp>
  </cdr:relSizeAnchor>
  <cdr:relSizeAnchor xmlns:cdr="http://schemas.openxmlformats.org/drawingml/2006/chartDrawing">
    <cdr:from>
      <cdr:x>0.28373</cdr:x>
      <cdr:y>0.24989</cdr:y>
    </cdr:from>
    <cdr:to>
      <cdr:x>0.35873</cdr:x>
      <cdr:y>0.35752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632347" y="733110"/>
          <a:ext cx="431482" cy="3157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AU" sz="1100">
              <a:latin typeface="Arial" panose="020B0604020202020204" pitchFamily="34" charset="0"/>
              <a:cs typeface="Arial" panose="020B0604020202020204" pitchFamily="34" charset="0"/>
            </a:rPr>
            <a:t>ab</a:t>
          </a:r>
        </a:p>
      </cdr:txBody>
    </cdr:sp>
  </cdr:relSizeAnchor>
  <cdr:relSizeAnchor xmlns:cdr="http://schemas.openxmlformats.org/drawingml/2006/chartDrawing">
    <cdr:from>
      <cdr:x>0.37425</cdr:x>
      <cdr:y>0.19254</cdr:y>
    </cdr:from>
    <cdr:to>
      <cdr:x>0.44717</cdr:x>
      <cdr:y>0.3106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153126" y="564855"/>
          <a:ext cx="419516" cy="3463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AU" sz="1100">
              <a:latin typeface="Arial" panose="020B0604020202020204" pitchFamily="34" charset="0"/>
              <a:cs typeface="Arial" panose="020B0604020202020204" pitchFamily="34" charset="0"/>
            </a:rPr>
            <a:t>bc</a:t>
          </a:r>
        </a:p>
      </cdr:txBody>
    </cdr:sp>
  </cdr:relSizeAnchor>
  <cdr:relSizeAnchor xmlns:cdr="http://schemas.openxmlformats.org/drawingml/2006/chartDrawing">
    <cdr:from>
      <cdr:x>0.45607</cdr:x>
      <cdr:y>0.17</cdr:y>
    </cdr:from>
    <cdr:to>
      <cdr:x>0.53524</cdr:x>
      <cdr:y>0.28458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623839" y="498715"/>
          <a:ext cx="455473" cy="336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AU" sz="1100">
              <a:latin typeface="Arial" panose="020B0604020202020204" pitchFamily="34" charset="0"/>
              <a:cs typeface="Arial" panose="020B0604020202020204" pitchFamily="34" charset="0"/>
            </a:rPr>
            <a:t>cd</a:t>
          </a:r>
        </a:p>
      </cdr:txBody>
    </cdr:sp>
  </cdr:relSizeAnchor>
  <cdr:relSizeAnchor xmlns:cdr="http://schemas.openxmlformats.org/drawingml/2006/chartDrawing">
    <cdr:from>
      <cdr:x>0.55625</cdr:x>
      <cdr:y>0.16175</cdr:y>
    </cdr:from>
    <cdr:to>
      <cdr:x>0.62917</cdr:x>
      <cdr:y>0.2798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543190" y="474524"/>
          <a:ext cx="333390" cy="346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AU" sz="1100">
              <a:latin typeface="Arial" panose="020B0604020202020204" pitchFamily="34" charset="0"/>
              <a:cs typeface="Arial" panose="020B0604020202020204" pitchFamily="34" charset="0"/>
            </a:rPr>
            <a:t>cd</a:t>
          </a:r>
        </a:p>
      </cdr:txBody>
    </cdr:sp>
  </cdr:relSizeAnchor>
  <cdr:relSizeAnchor xmlns:cdr="http://schemas.openxmlformats.org/drawingml/2006/chartDrawing">
    <cdr:from>
      <cdr:x>0.64375</cdr:x>
      <cdr:y>0.14069</cdr:y>
    </cdr:from>
    <cdr:to>
      <cdr:x>0.72083</cdr:x>
      <cdr:y>0.25181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943210" y="412730"/>
          <a:ext cx="352410" cy="3259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AU" sz="1100">
              <a:latin typeface="Arial" panose="020B0604020202020204" pitchFamily="34" charset="0"/>
              <a:cs typeface="Arial" panose="020B0604020202020204" pitchFamily="34" charset="0"/>
            </a:rPr>
            <a:t>cd</a:t>
          </a:r>
        </a:p>
      </cdr:txBody>
    </cdr:sp>
  </cdr:relSizeAnchor>
  <cdr:relSizeAnchor xmlns:cdr="http://schemas.openxmlformats.org/drawingml/2006/chartDrawing">
    <cdr:from>
      <cdr:x>0.725</cdr:x>
      <cdr:y>0.12983</cdr:y>
    </cdr:from>
    <cdr:to>
      <cdr:x>0.79584</cdr:x>
      <cdr:y>0.23399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314700" y="380881"/>
          <a:ext cx="323880" cy="3055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AU" sz="1100">
              <a:latin typeface="Arial" panose="020B0604020202020204" pitchFamily="34" charset="0"/>
              <a:cs typeface="Arial" panose="020B0604020202020204" pitchFamily="34" charset="0"/>
            </a:rPr>
            <a:t>cd</a:t>
          </a:r>
        </a:p>
      </cdr:txBody>
    </cdr:sp>
  </cdr:relSizeAnchor>
  <cdr:relSizeAnchor xmlns:cdr="http://schemas.openxmlformats.org/drawingml/2006/chartDrawing">
    <cdr:from>
      <cdr:x>0.8142</cdr:x>
      <cdr:y>0.09858</cdr:y>
    </cdr:from>
    <cdr:to>
      <cdr:x>0.88711</cdr:x>
      <cdr:y>0.20969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684157" y="289204"/>
          <a:ext cx="419458" cy="3259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AU" sz="1100">
              <a:latin typeface="Arial" panose="020B0604020202020204" pitchFamily="34" charset="0"/>
              <a:cs typeface="Arial" panose="020B0604020202020204" pitchFamily="34" charset="0"/>
            </a:rPr>
            <a:t>de</a:t>
          </a:r>
        </a:p>
      </cdr:txBody>
    </cdr:sp>
  </cdr:relSizeAnchor>
  <cdr:relSizeAnchor xmlns:cdr="http://schemas.openxmlformats.org/drawingml/2006/chartDrawing">
    <cdr:from>
      <cdr:x>0.89204</cdr:x>
      <cdr:y>0.0599</cdr:y>
    </cdr:from>
    <cdr:to>
      <cdr:x>0.97329</cdr:x>
      <cdr:y>0.16407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5132010" y="175736"/>
          <a:ext cx="467439" cy="3056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AU" sz="1100">
              <a:latin typeface="Arial" panose="020B0604020202020204" pitchFamily="34" charset="0"/>
              <a:cs typeface="Arial" panose="020B0604020202020204" pitchFamily="34" charset="0"/>
            </a:rPr>
            <a:t>e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0.82499</cdr:x>
      <cdr:y>0.36572</cdr:y>
    </cdr:from>
    <cdr:to>
      <cdr:x>0.89795</cdr:x>
      <cdr:y>0.46629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61851" y="969793"/>
          <a:ext cx="3238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AU" sz="1100">
              <a:latin typeface="Arial" panose="020B0604020202020204" pitchFamily="34" charset="0"/>
              <a:cs typeface="Arial" panose="020B0604020202020204" pitchFamily="34" charset="0"/>
            </a:rPr>
            <a:t>a</a:t>
          </a:r>
        </a:p>
      </cdr:txBody>
    </cdr:sp>
  </cdr:relSizeAnchor>
  <cdr:relSizeAnchor xmlns:cdr="http://schemas.openxmlformats.org/drawingml/2006/chartDrawing">
    <cdr:from>
      <cdr:x>0.6104</cdr:x>
      <cdr:y>0.09991</cdr:y>
    </cdr:from>
    <cdr:to>
      <cdr:x>0.69194</cdr:x>
      <cdr:y>0.20767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09350" y="264943"/>
          <a:ext cx="361949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AU" sz="1100">
              <a:latin typeface="Arial" panose="020B0604020202020204" pitchFamily="34" charset="0"/>
              <a:cs typeface="Arial" panose="020B0604020202020204" pitchFamily="34" charset="0"/>
            </a:rPr>
            <a:t>b</a:t>
          </a:r>
        </a:p>
      </cdr:txBody>
    </cdr:sp>
  </cdr:relSizeAnchor>
  <cdr:relSizeAnchor xmlns:cdr="http://schemas.openxmlformats.org/drawingml/2006/chartDrawing">
    <cdr:from>
      <cdr:x>0.40225</cdr:x>
      <cdr:y>0.04244</cdr:y>
    </cdr:from>
    <cdr:to>
      <cdr:x>0.49881</cdr:x>
      <cdr:y>0.16457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785425" y="112542"/>
          <a:ext cx="42862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AU" sz="1100">
              <a:latin typeface="Arial" panose="020B0604020202020204" pitchFamily="34" charset="0"/>
              <a:cs typeface="Arial" panose="020B0604020202020204" pitchFamily="34" charset="0"/>
            </a:rPr>
            <a:t>b</a:t>
          </a:r>
        </a:p>
      </cdr:txBody>
    </cdr:sp>
  </cdr:relSizeAnchor>
  <cdr:relSizeAnchor xmlns:cdr="http://schemas.openxmlformats.org/drawingml/2006/chartDrawing">
    <cdr:from>
      <cdr:x>0.20053</cdr:x>
      <cdr:y>0.07836</cdr:y>
    </cdr:from>
    <cdr:to>
      <cdr:x>0.27993</cdr:x>
      <cdr:y>0.20049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890075" y="207792"/>
          <a:ext cx="35242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AU" sz="1100">
              <a:latin typeface="Arial" panose="020B0604020202020204" pitchFamily="34" charset="0"/>
              <a:cs typeface="Arial" panose="020B0604020202020204" pitchFamily="34" charset="0"/>
            </a:rPr>
            <a:t>b*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B8AF-B1E4-4BBC-A6C0-FEF62F8F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2560</Words>
  <Characters>14596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Nash</dc:creator>
  <cp:lastModifiedBy>Friday Obanor</cp:lastModifiedBy>
  <cp:revision>2</cp:revision>
  <cp:lastPrinted>2020-02-04T08:33:00Z</cp:lastPrinted>
  <dcterms:created xsi:type="dcterms:W3CDTF">2020-02-11T01:38:00Z</dcterms:created>
  <dcterms:modified xsi:type="dcterms:W3CDTF">2020-02-11T01:38:00Z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A469358</vt:lpwstr>
  </property>
  <property fmtid="{D5CDD505-2E9C-101B-9397-08002B2CF9AE}" pid="4" name="Objective-Title">
    <vt:lpwstr>Agzone1 wheat production values accessible 2009 - 2013</vt:lpwstr>
  </property>
  <property fmtid="{D5CDD505-2E9C-101B-9397-08002B2CF9AE}" pid="5" name="Objective-Comment">
    <vt:lpwstr>Agzone 1 - wheat variety production values (2009 - 2013)</vt:lpwstr>
  </property>
  <property fmtid="{D5CDD505-2E9C-101B-9397-08002B2CF9AE}" pid="6" name="Objective-CreationStamp">
    <vt:filetime>2014-08-26T05:35:18Z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2014-08-28T07:28:14Z</vt:filetime>
  </property>
  <property fmtid="{D5CDD505-2E9C-101B-9397-08002B2CF9AE}" pid="11" name="Objective-Owner">
    <vt:lpwstr>ZAICOU-KUNESCH Christine</vt:lpwstr>
  </property>
  <property fmtid="{D5CDD505-2E9C-101B-9397-08002B2CF9AE}" pid="12" name="Objective-Path">
    <vt:lpwstr>Objective Global Folder:Departmental Folder Structure:DAFWA:Grains Industry (Mark Sweetingham):*External Publications - Gateway - Grains Industry:Crops:Wheat:Crops - Wheat - External Web Gateway:</vt:lpwstr>
  </property>
  <property fmtid="{D5CDD505-2E9C-101B-9397-08002B2CF9AE}" pid="13" name="Objective-Parent">
    <vt:lpwstr>Crops - Wheat - External Web Gateway</vt:lpwstr>
  </property>
  <property fmtid="{D5CDD505-2E9C-101B-9397-08002B2CF9AE}" pid="14" name="Objective-State">
    <vt:lpwstr>Submitted for Approval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>changes included Vinka's edits and text changes following review</vt:lpwstr>
  </property>
  <property fmtid="{D5CDD505-2E9C-101B-9397-08002B2CF9AE}" pid="18" name="Objective-FileNumber">
    <vt:lpwstr>PM140070</vt:lpwstr>
  </property>
  <property fmtid="{D5CDD505-2E9C-101B-9397-08002B2CF9AE}" pid="19" name="Objective-Classification">
    <vt:lpwstr>[Inherited - Internal Information]</vt:lpwstr>
  </property>
  <property fmtid="{D5CDD505-2E9C-101B-9397-08002B2CF9AE}" pid="20" name="Objective-Caveats">
    <vt:lpwstr>
    </vt:lpwstr>
  </property>
  <property fmtid="{D5CDD505-2E9C-101B-9397-08002B2CF9AE}" pid="21" name="Objective-Date Written [system]">
    <vt:lpwstr>
    </vt:lpwstr>
  </property>
  <property fmtid="{D5CDD505-2E9C-101B-9397-08002B2CF9AE}" pid="22" name="Objective-Author (if other than you) [system]">
    <vt:lpwstr>
    </vt:lpwstr>
  </property>
  <property fmtid="{D5CDD505-2E9C-101B-9397-08002B2CF9AE}" pid="23" name="Objective-Organisation [system]">
    <vt:lpwstr>
    </vt:lpwstr>
  </property>
  <property fmtid="{D5CDD505-2E9C-101B-9397-08002B2CF9AE}" pid="24" name="Objective-Abstract / descriptors [system]">
    <vt:lpwstr>
    </vt:lpwstr>
  </property>
  <property fmtid="{D5CDD505-2E9C-101B-9397-08002B2CF9AE}" pid="25" name="Objective-Allow Intranet Search [system]">
    <vt:bool>false</vt:bool>
  </property>
  <property fmtid="{D5CDD505-2E9C-101B-9397-08002B2CF9AE}" pid="26" name="Objective-CMS Deleted [system]">
    <vt:bool>false</vt:bool>
  </property>
  <property fmtid="{D5CDD505-2E9C-101B-9397-08002B2CF9AE}" pid="27" name="Objective-Stored In CMS [system]">
    <vt:bool>false</vt:bool>
  </property>
  <property fmtid="{D5CDD505-2E9C-101B-9397-08002B2CF9AE}" pid="28" name="Objective-CMS Id [system]">
    <vt:lpwstr>
    </vt:lpwstr>
  </property>
</Properties>
</file>